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C14980" w14:textId="196AE8CC" w:rsidR="00A729F5" w:rsidRPr="00DA12F7" w:rsidRDefault="00A729F5" w:rsidP="00A729F5">
      <w:pPr>
        <w:tabs>
          <w:tab w:val="right" w:pos="9630"/>
        </w:tabs>
        <w:spacing w:after="0"/>
      </w:pPr>
      <w:r w:rsidRPr="00DA12F7">
        <w:rPr>
          <w:rFonts w:ascii="Arial" w:hAnsi="Arial" w:cs="Arial"/>
          <w:b/>
          <w:sz w:val="24"/>
        </w:rPr>
        <w:t xml:space="preserve">3GPP TSG RAN WG1 </w:t>
      </w:r>
      <w:r w:rsidR="00FF00B6">
        <w:rPr>
          <w:rFonts w:ascii="Arial" w:hAnsi="Arial" w:cs="Arial"/>
          <w:b/>
          <w:sz w:val="24"/>
        </w:rPr>
        <w:t>#90bis</w:t>
      </w:r>
      <w:r w:rsidRPr="00DA12F7">
        <w:rPr>
          <w:rFonts w:ascii="Arial" w:hAnsi="Arial" w:cs="Arial"/>
          <w:b/>
          <w:sz w:val="24"/>
        </w:rPr>
        <w:tab/>
        <w:t>R1-</w:t>
      </w:r>
      <w:r w:rsidR="00B0015C">
        <w:rPr>
          <w:rFonts w:ascii="Arial" w:hAnsi="Arial" w:cs="Arial"/>
          <w:b/>
          <w:sz w:val="24"/>
        </w:rPr>
        <w:t>17</w:t>
      </w:r>
      <w:r w:rsidR="0053268B" w:rsidRPr="0053268B">
        <w:rPr>
          <w:rFonts w:ascii="Arial" w:hAnsi="Arial" w:cs="Arial"/>
          <w:b/>
          <w:sz w:val="24"/>
        </w:rPr>
        <w:t>18581</w:t>
      </w:r>
    </w:p>
    <w:p w14:paraId="0C2D9163" w14:textId="584D0BD7" w:rsidR="00A729F5" w:rsidRPr="00DA12F7" w:rsidRDefault="00AB5E39" w:rsidP="00A729F5">
      <w:pPr>
        <w:tabs>
          <w:tab w:val="right" w:pos="9630"/>
        </w:tabs>
        <w:spacing w:after="0"/>
        <w:rPr>
          <w:rFonts w:ascii="Arial" w:hAnsi="Arial" w:cs="Arial"/>
          <w:b/>
          <w:sz w:val="24"/>
          <w:szCs w:val="24"/>
        </w:rPr>
      </w:pPr>
      <w:r w:rsidRPr="00AB5E39">
        <w:rPr>
          <w:rFonts w:ascii="Arial" w:hAnsi="Arial" w:cs="Arial"/>
          <w:b/>
          <w:sz w:val="24"/>
          <w:szCs w:val="24"/>
        </w:rPr>
        <w:t xml:space="preserve">Prague, </w:t>
      </w:r>
      <w:r>
        <w:rPr>
          <w:rFonts w:ascii="Arial" w:hAnsi="Arial" w:cs="Arial"/>
          <w:b/>
          <w:sz w:val="24"/>
          <w:szCs w:val="24"/>
        </w:rPr>
        <w:t>Czech Republic</w:t>
      </w:r>
      <w:r w:rsidRPr="00AB5E39">
        <w:rPr>
          <w:rFonts w:ascii="Arial" w:hAnsi="Arial" w:cs="Arial"/>
          <w:b/>
          <w:sz w:val="24"/>
          <w:szCs w:val="24"/>
        </w:rPr>
        <w:t xml:space="preserve">, </w:t>
      </w:r>
      <w:r>
        <w:rPr>
          <w:rFonts w:ascii="Arial" w:hAnsi="Arial" w:cs="Arial"/>
          <w:b/>
          <w:sz w:val="24"/>
          <w:szCs w:val="24"/>
        </w:rPr>
        <w:t xml:space="preserve">October </w:t>
      </w:r>
      <w:r w:rsidRPr="00AB5E39">
        <w:rPr>
          <w:rFonts w:ascii="Arial" w:hAnsi="Arial" w:cs="Arial"/>
          <w:b/>
          <w:sz w:val="24"/>
          <w:szCs w:val="24"/>
        </w:rPr>
        <w:t>9</w:t>
      </w:r>
      <w:r w:rsidRPr="00901B88">
        <w:rPr>
          <w:rFonts w:ascii="Arial" w:hAnsi="Arial" w:cs="Arial"/>
          <w:b/>
          <w:sz w:val="24"/>
          <w:szCs w:val="24"/>
          <w:vertAlign w:val="superscript"/>
        </w:rPr>
        <w:t>th</w:t>
      </w:r>
      <w:r w:rsidRPr="00AB5E39">
        <w:rPr>
          <w:rFonts w:ascii="Arial" w:hAnsi="Arial" w:cs="Arial"/>
          <w:b/>
          <w:sz w:val="24"/>
          <w:szCs w:val="24"/>
        </w:rPr>
        <w:t xml:space="preserve"> – 13</w:t>
      </w:r>
      <w:r w:rsidRPr="00901B88">
        <w:rPr>
          <w:rFonts w:ascii="Arial" w:hAnsi="Arial" w:cs="Arial"/>
          <w:b/>
          <w:sz w:val="24"/>
          <w:szCs w:val="24"/>
          <w:vertAlign w:val="superscript"/>
        </w:rPr>
        <w:t>th</w:t>
      </w:r>
      <w:r w:rsidRPr="00AB5E39">
        <w:rPr>
          <w:rFonts w:ascii="Arial" w:hAnsi="Arial" w:cs="Arial"/>
          <w:b/>
          <w:sz w:val="24"/>
          <w:szCs w:val="24"/>
        </w:rPr>
        <w:t>, 2017</w:t>
      </w:r>
    </w:p>
    <w:p w14:paraId="43B7F87B" w14:textId="77777777" w:rsidR="0068226B" w:rsidRPr="000A64D8" w:rsidRDefault="0068226B" w:rsidP="00480B03">
      <w:pPr>
        <w:pStyle w:val="Footer"/>
        <w:jc w:val="both"/>
        <w:rPr>
          <w:noProof w:val="0"/>
        </w:rPr>
      </w:pPr>
    </w:p>
    <w:p w14:paraId="43B7F87C" w14:textId="1ECC0F13" w:rsidR="0068226B" w:rsidRPr="000A64D8" w:rsidRDefault="0068226B" w:rsidP="00E15352">
      <w:pPr>
        <w:tabs>
          <w:tab w:val="left" w:pos="1985"/>
        </w:tabs>
        <w:jc w:val="both"/>
        <w:rPr>
          <w:rFonts w:ascii="Arial" w:hAnsi="Arial"/>
          <w:sz w:val="24"/>
        </w:rPr>
      </w:pPr>
      <w:bookmarkStart w:id="0" w:name="_GoBack"/>
      <w:r w:rsidRPr="000A64D8">
        <w:rPr>
          <w:rFonts w:ascii="Arial" w:hAnsi="Arial"/>
          <w:b/>
          <w:sz w:val="24"/>
        </w:rPr>
        <w:t>Agenda item:</w:t>
      </w:r>
      <w:r w:rsidRPr="000A64D8">
        <w:rPr>
          <w:rFonts w:ascii="Arial" w:hAnsi="Arial"/>
          <w:sz w:val="24"/>
        </w:rPr>
        <w:tab/>
      </w:r>
      <w:bookmarkStart w:id="1" w:name="Source"/>
      <w:bookmarkEnd w:id="1"/>
      <w:r w:rsidR="00FF00B6">
        <w:rPr>
          <w:rFonts w:ascii="Arial" w:hAnsi="Arial"/>
          <w:sz w:val="24"/>
        </w:rPr>
        <w:t>7</w:t>
      </w:r>
      <w:r w:rsidR="00955C57">
        <w:rPr>
          <w:rFonts w:ascii="Arial" w:hAnsi="Arial"/>
          <w:sz w:val="24"/>
        </w:rPr>
        <w:t>.3.</w:t>
      </w:r>
      <w:r w:rsidR="008708B4">
        <w:rPr>
          <w:rFonts w:ascii="Arial" w:hAnsi="Arial"/>
          <w:sz w:val="24"/>
        </w:rPr>
        <w:t>4</w:t>
      </w:r>
      <w:r w:rsidR="00FF00B6">
        <w:rPr>
          <w:rFonts w:ascii="Arial" w:hAnsi="Arial"/>
          <w:sz w:val="24"/>
        </w:rPr>
        <w:t>.2</w:t>
      </w:r>
    </w:p>
    <w:bookmarkEnd w:id="0"/>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463E2D9D" w:rsidR="00C10599" w:rsidRPr="0007796D"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FF00B6">
        <w:rPr>
          <w:rFonts w:ascii="Arial" w:hAnsi="Arial"/>
          <w:sz w:val="22"/>
        </w:rPr>
        <w:t xml:space="preserve">Open Issues on </w:t>
      </w:r>
      <w:r w:rsidR="008708B4">
        <w:rPr>
          <w:rFonts w:ascii="Arial" w:hAnsi="Arial"/>
          <w:sz w:val="24"/>
          <w:szCs w:val="24"/>
        </w:rPr>
        <w:t>CA</w:t>
      </w: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5F9B6AB3" w14:textId="77777777" w:rsidR="00E4038C" w:rsidRDefault="00E4038C" w:rsidP="00E4038C">
      <w:pPr>
        <w:pStyle w:val="Heading1"/>
        <w:textAlignment w:val="auto"/>
      </w:pPr>
      <w:bookmarkStart w:id="3" w:name="_Ref494746248"/>
      <w:r>
        <w:t>Introduction</w:t>
      </w:r>
      <w:bookmarkEnd w:id="3"/>
    </w:p>
    <w:p w14:paraId="4AAFCC67" w14:textId="6168D98C" w:rsidR="00E4038C" w:rsidRDefault="005F76BE" w:rsidP="00E4038C">
      <w:pPr>
        <w:spacing w:after="120"/>
      </w:pPr>
      <w:r>
        <w:t>This contribution</w:t>
      </w:r>
      <w:r w:rsidR="00E4038C">
        <w:t xml:space="preserve"> discuss</w:t>
      </w:r>
      <w:r>
        <w:t>es</w:t>
      </w:r>
      <w:r w:rsidR="00E4038C">
        <w:t xml:space="preserve"> </w:t>
      </w:r>
      <w:r w:rsidR="00C227E3">
        <w:t xml:space="preserve">issues in CA </w:t>
      </w:r>
      <w:r>
        <w:t>and BWP for NR</w:t>
      </w:r>
      <w:r w:rsidR="00105EFB">
        <w:t xml:space="preserve"> including</w:t>
      </w:r>
      <w:r>
        <w:t xml:space="preserve"> </w:t>
      </w:r>
      <w:r w:rsidR="00105EFB">
        <w:t xml:space="preserve">unified framework for CA and BWP handling, timeline with activation/deactivation, and CA </w:t>
      </w:r>
      <w:r w:rsidR="00C227E3">
        <w:t xml:space="preserve">with mixed numerology. </w:t>
      </w:r>
    </w:p>
    <w:p w14:paraId="2C2AD672" w14:textId="0E6EC965" w:rsidR="002B3B40" w:rsidRDefault="002B3B40" w:rsidP="002B3B40">
      <w:pPr>
        <w:rPr>
          <w:lang w:val="en-GB"/>
        </w:rPr>
      </w:pPr>
      <w:r>
        <w:t xml:space="preserve">One issue </w:t>
      </w:r>
      <w:r w:rsidR="00C3160D">
        <w:t>under</w:t>
      </w:r>
      <w:r>
        <w:t xml:space="preserve"> discussion in RAN1 is the relationship between CA and BWP. </w:t>
      </w:r>
      <w:r>
        <w:rPr>
          <w:lang w:val="en-GB"/>
        </w:rPr>
        <w:t xml:space="preserve">In RAN1 </w:t>
      </w:r>
      <w:r w:rsidR="00D328AE">
        <w:rPr>
          <w:lang w:val="en-GB"/>
        </w:rPr>
        <w:t xml:space="preserve">NR </w:t>
      </w:r>
      <w:r>
        <w:rPr>
          <w:lang w:val="en-GB"/>
        </w:rPr>
        <w:t>AH#3</w:t>
      </w:r>
      <w:r w:rsidR="009E3759">
        <w:rPr>
          <w:lang w:val="en-GB"/>
        </w:rPr>
        <w:t xml:space="preserve"> (2017)</w:t>
      </w:r>
      <w:r>
        <w:rPr>
          <w:lang w:val="en-GB"/>
        </w:rPr>
        <w:t>, the following agreements were made regarding the relationship between CA and BWP:</w:t>
      </w:r>
    </w:p>
    <w:p w14:paraId="0271A577" w14:textId="77777777" w:rsidR="002B3B40" w:rsidRPr="00FA1088" w:rsidRDefault="002B3B40" w:rsidP="002B3B40">
      <w:pPr>
        <w:numPr>
          <w:ilvl w:val="0"/>
          <w:numId w:val="35"/>
        </w:numPr>
        <w:overflowPunct/>
        <w:autoSpaceDE/>
        <w:autoSpaceDN/>
        <w:adjustRightInd/>
        <w:spacing w:after="0"/>
        <w:ind w:left="567" w:hanging="207"/>
        <w:textAlignment w:val="auto"/>
      </w:pPr>
      <w:r w:rsidRPr="00FA1088">
        <w:t>For each UE-specific serving cell, one or more DL BWPs and one or more UL BWPs can be configured by dedicated RRC for a UE</w:t>
      </w:r>
    </w:p>
    <w:p w14:paraId="5CE575BC" w14:textId="77777777" w:rsidR="002B3B40" w:rsidRPr="00FA1088" w:rsidRDefault="002B3B40" w:rsidP="002B3B40">
      <w:pPr>
        <w:numPr>
          <w:ilvl w:val="1"/>
          <w:numId w:val="35"/>
        </w:numPr>
        <w:tabs>
          <w:tab w:val="left" w:pos="720"/>
        </w:tabs>
        <w:overflowPunct/>
        <w:autoSpaceDE/>
        <w:autoSpaceDN/>
        <w:adjustRightInd/>
        <w:spacing w:after="0"/>
        <w:textAlignment w:val="auto"/>
      </w:pPr>
      <w:r w:rsidRPr="00FA1088">
        <w:t>FFS association of DL BWP and UL BWP</w:t>
      </w:r>
    </w:p>
    <w:p w14:paraId="28A2DFD2" w14:textId="77777777" w:rsidR="002B3B40" w:rsidRDefault="002B3B40" w:rsidP="0053268B">
      <w:pPr>
        <w:numPr>
          <w:ilvl w:val="1"/>
          <w:numId w:val="35"/>
        </w:numPr>
        <w:tabs>
          <w:tab w:val="left" w:pos="720"/>
        </w:tabs>
        <w:overflowPunct/>
        <w:autoSpaceDE/>
        <w:autoSpaceDN/>
        <w:adjustRightInd/>
        <w:spacing w:after="120"/>
        <w:ind w:left="1434" w:hanging="357"/>
        <w:textAlignment w:val="auto"/>
      </w:pPr>
      <w:r w:rsidRPr="00FA1088">
        <w:t>FFS definition of an active cell in relation to DL BWP and UL BWP, whether or not there are cross-cell/cross-BWP interactions</w:t>
      </w:r>
    </w:p>
    <w:p w14:paraId="3A034B8A" w14:textId="4B30F2FE" w:rsidR="002B3B40" w:rsidRDefault="002B3B40" w:rsidP="0053268B">
      <w:pPr>
        <w:numPr>
          <w:ilvl w:val="0"/>
          <w:numId w:val="35"/>
        </w:numPr>
        <w:tabs>
          <w:tab w:val="left" w:pos="720"/>
        </w:tabs>
        <w:overflowPunct/>
        <w:autoSpaceDE/>
        <w:autoSpaceDN/>
        <w:adjustRightInd/>
        <w:spacing w:after="120"/>
        <w:textAlignment w:val="auto"/>
      </w:pPr>
      <w:r w:rsidRPr="00605099">
        <w:t>In Rel-15, for a UE, there is at most one active DL BWP and at most one active UL BWP at a given time for a serving cell</w:t>
      </w:r>
    </w:p>
    <w:p w14:paraId="3376174C" w14:textId="014A7A0C" w:rsidR="003F0666" w:rsidRDefault="003F0666" w:rsidP="00E4038C">
      <w:pPr>
        <w:spacing w:after="120"/>
      </w:pPr>
      <w:r>
        <w:t xml:space="preserve">This is a revision </w:t>
      </w:r>
      <w:r w:rsidR="00FF00B6">
        <w:t>of R1-</w:t>
      </w:r>
      <w:r w:rsidR="00FF00B6" w:rsidRPr="00FF00B6">
        <w:t>1716440</w:t>
      </w:r>
      <w:r>
        <w:t>.</w:t>
      </w:r>
    </w:p>
    <w:p w14:paraId="491BC27D" w14:textId="34264621" w:rsidR="0099256F" w:rsidRDefault="00314111" w:rsidP="0053268B">
      <w:pPr>
        <w:pStyle w:val="Heading1"/>
      </w:pPr>
      <w:bookmarkStart w:id="4" w:name="_Ref494671767"/>
      <w:r>
        <w:t xml:space="preserve">SCell Activation/Deactivation </w:t>
      </w:r>
      <w:r w:rsidR="0090672A">
        <w:t>and BWP</w:t>
      </w:r>
      <w:bookmarkEnd w:id="4"/>
    </w:p>
    <w:p w14:paraId="52E4B644" w14:textId="11E03368" w:rsidR="0090672A" w:rsidRDefault="0090672A" w:rsidP="0053268B">
      <w:pPr>
        <w:pStyle w:val="Heading2"/>
      </w:pPr>
      <w:r>
        <w:t>Motivation</w:t>
      </w:r>
    </w:p>
    <w:p w14:paraId="00A79D07" w14:textId="3EBE5A87" w:rsidR="00FF2644" w:rsidRDefault="00D374E1" w:rsidP="0053268B">
      <w:pPr>
        <w:overflowPunct/>
        <w:autoSpaceDE/>
        <w:autoSpaceDN/>
        <w:adjustRightInd/>
        <w:spacing w:after="240"/>
        <w:textAlignment w:val="auto"/>
      </w:pPr>
      <w:r>
        <w:t>In RAN1 NR AH#3 (2017), i</w:t>
      </w:r>
      <w:r w:rsidR="006D7115">
        <w:t xml:space="preserve">t has already been agreed that BWP activation/deactivation/switching is signaled via DCI. It has also been agreed that from the UE perspective, </w:t>
      </w:r>
      <w:r w:rsidR="006D7115" w:rsidRPr="00605099">
        <w:t>there is at most one active DL BWP and at most one active UL BWP at a given time</w:t>
      </w:r>
      <w:r w:rsidR="006D7115">
        <w:t xml:space="preserve"> for a serving cell. </w:t>
      </w:r>
      <w:r w:rsidR="003C35BB">
        <w:t xml:space="preserve">For PCell, there is more clarity because PCell is always </w:t>
      </w:r>
      <w:r w:rsidR="008D133B">
        <w:t>activated</w:t>
      </w:r>
      <w:r w:rsidR="00E53F95">
        <w:t xml:space="preserve"> by definition</w:t>
      </w:r>
      <w:r w:rsidR="003C35BB">
        <w:t xml:space="preserve">, so </w:t>
      </w:r>
      <w:r w:rsidR="00AF3DE1">
        <w:t xml:space="preserve">the only issues are </w:t>
      </w:r>
      <w:r w:rsidR="003C35BB">
        <w:t>simply to define the configuration of BWP (i.e.</w:t>
      </w:r>
      <w:r w:rsidR="0099647E">
        <w:t>,</w:t>
      </w:r>
      <w:r w:rsidR="003C35BB">
        <w:t xml:space="preserve"> </w:t>
      </w:r>
      <w:r w:rsidR="00FF2644">
        <w:t xml:space="preserve">how to define </w:t>
      </w:r>
      <w:r w:rsidR="003C35BB">
        <w:t>the initial BWP, the default BWP</w:t>
      </w:r>
      <w:r w:rsidR="00FF2644">
        <w:t>, etc</w:t>
      </w:r>
      <w:r w:rsidR="003C35BB">
        <w:t xml:space="preserve">), and </w:t>
      </w:r>
      <w:r w:rsidR="008D133B">
        <w:t xml:space="preserve">the </w:t>
      </w:r>
      <w:r w:rsidR="003C35BB">
        <w:t xml:space="preserve">BWP switching </w:t>
      </w:r>
      <w:r w:rsidR="00E57973">
        <w:t>rules</w:t>
      </w:r>
      <w:r w:rsidR="003C35BB">
        <w:t>. For SCell, t</w:t>
      </w:r>
      <w:r w:rsidR="006D7115">
        <w:t xml:space="preserve">he question remains </w:t>
      </w:r>
      <w:r w:rsidR="003C35BB">
        <w:t xml:space="preserve">regarding </w:t>
      </w:r>
      <w:r w:rsidR="006D7115">
        <w:t>the relationship between SCell activation</w:t>
      </w:r>
      <w:r w:rsidR="003C35BB">
        <w:t>/deactivation</w:t>
      </w:r>
      <w:r w:rsidR="006D7115">
        <w:t xml:space="preserve"> and BWP activation</w:t>
      </w:r>
      <w:r w:rsidR="003C35BB">
        <w:t>/deactivation</w:t>
      </w:r>
      <w:r w:rsidR="006D7115">
        <w:t>.</w:t>
      </w:r>
      <w:r w:rsidR="003C35BB">
        <w:t xml:space="preserve"> Currently, there is a proposal that SCell activation/deactivation would </w:t>
      </w:r>
      <w:r w:rsidR="00AF3DE1">
        <w:t xml:space="preserve">be based on </w:t>
      </w:r>
      <w:r w:rsidR="003C35BB">
        <w:t xml:space="preserve">a scheme similar to LTE, and </w:t>
      </w:r>
      <w:r w:rsidR="00AC5F7E">
        <w:t xml:space="preserve">to support </w:t>
      </w:r>
      <w:r w:rsidR="00FF2644">
        <w:t>BWP</w:t>
      </w:r>
      <w:r w:rsidR="003C35BB">
        <w:t>, we have to define the BWP behavior when SCell is activated/deactivated</w:t>
      </w:r>
      <w:r w:rsidR="00260669">
        <w:t>, and how that can be configured</w:t>
      </w:r>
      <w:r w:rsidR="003C35BB">
        <w:t xml:space="preserve">. </w:t>
      </w:r>
      <w:r w:rsidR="00FF2644">
        <w:t xml:space="preserve">While it is a workable approach, it is worth taking a step back and </w:t>
      </w:r>
      <w:r w:rsidR="0090672A">
        <w:t xml:space="preserve">remind ourselves </w:t>
      </w:r>
      <w:r w:rsidR="00FF2644">
        <w:t xml:space="preserve">the main motivation of BWP, and </w:t>
      </w:r>
      <w:r w:rsidR="0090672A">
        <w:t>see whether this</w:t>
      </w:r>
      <w:r w:rsidR="00FF2644">
        <w:t xml:space="preserve"> approach is consistent with </w:t>
      </w:r>
      <w:r w:rsidR="007263AD">
        <w:t>it</w:t>
      </w:r>
      <w:r w:rsidR="00FF2644">
        <w:t>.</w:t>
      </w:r>
    </w:p>
    <w:p w14:paraId="5F802CD0" w14:textId="7AC15735" w:rsidR="00FF2644" w:rsidRDefault="006D7115" w:rsidP="0053268B">
      <w:pPr>
        <w:overflowPunct/>
        <w:autoSpaceDE/>
        <w:autoSpaceDN/>
        <w:adjustRightInd/>
        <w:spacing w:after="240"/>
        <w:textAlignment w:val="auto"/>
      </w:pPr>
      <w:r w:rsidRPr="006D7115">
        <w:t xml:space="preserve">One of the </w:t>
      </w:r>
      <w:r w:rsidR="00FF2644">
        <w:t xml:space="preserve">main </w:t>
      </w:r>
      <w:r w:rsidR="00B363C8">
        <w:t>motivations for dynamic BW</w:t>
      </w:r>
      <w:r w:rsidRPr="006D7115">
        <w:t xml:space="preserve"> adaptation </w:t>
      </w:r>
      <w:r w:rsidR="00B363C8">
        <w:t xml:space="preserve">(via BWP switching) </w:t>
      </w:r>
      <w:r w:rsidRPr="006D7115">
        <w:t>is for power saving. In the context of CA, if activation/deactivation of SCell is significantly slower than dynamic BW adaptation on the PCell, the extent of power saving attainable would dimi</w:t>
      </w:r>
      <w:r w:rsidR="0099647E">
        <w:t>ni</w:t>
      </w:r>
      <w:r w:rsidRPr="006D7115">
        <w:t>sh. In particular, for wideband Rx for intraband CA architecture, the activation/deactivation of SCell would dictate the time scale by which</w:t>
      </w:r>
      <w:r w:rsidR="00134B15">
        <w:t xml:space="preserve"> the overall</w:t>
      </w:r>
      <w:r w:rsidRPr="006D7115">
        <w:t xml:space="preserve"> RF bandwidth can adapt. </w:t>
      </w:r>
    </w:p>
    <w:p w14:paraId="13E71396" w14:textId="4E5FBCD0" w:rsidR="00B363C8" w:rsidRDefault="00FF2644" w:rsidP="0053268B">
      <w:pPr>
        <w:overflowPunct/>
        <w:autoSpaceDE/>
        <w:autoSpaceDN/>
        <w:adjustRightInd/>
        <w:spacing w:after="240"/>
        <w:textAlignment w:val="auto"/>
      </w:pPr>
      <w:r>
        <w:t xml:space="preserve">For NR, while SCell configuration via RRC is acceptable and can be </w:t>
      </w:r>
      <w:r w:rsidR="00B308C7">
        <w:t>re</w:t>
      </w:r>
      <w:r>
        <w:t>used from LTE, there could be two options for SCell activation. Option 1 is to reuse LTE, i.e. SCell activation is based on MAC</w:t>
      </w:r>
      <w:r w:rsidR="0099647E">
        <w:t>-</w:t>
      </w:r>
      <w:r>
        <w:t>CE. In Section</w:t>
      </w:r>
      <w:r w:rsidR="009E3E19">
        <w:t xml:space="preserve"> </w:t>
      </w:r>
      <w:r w:rsidR="009E3E19">
        <w:fldChar w:fldCharType="begin"/>
      </w:r>
      <w:r w:rsidR="009E3E19">
        <w:instrText xml:space="preserve"> REF _Ref494735667 \r \h </w:instrText>
      </w:r>
      <w:r w:rsidR="009E3E19">
        <w:fldChar w:fldCharType="separate"/>
      </w:r>
      <w:r w:rsidR="00092D01">
        <w:t>3</w:t>
      </w:r>
      <w:r w:rsidR="009E3E19">
        <w:fldChar w:fldCharType="end"/>
      </w:r>
      <w:r>
        <w:t xml:space="preserve">, timeline analysis has been discussed: For NR, because of shorter slot structure and lower latency, even for MAC CE signaling, SCell activation can be sped up compared to LTE. However, as discussed in the paragraph above, this </w:t>
      </w:r>
      <w:r w:rsidR="00134B15">
        <w:t xml:space="preserve">still </w:t>
      </w:r>
      <w:r>
        <w:t xml:space="preserve">results in a mismatch in the BW adaptation timescale between PCell and SCell, and the slower SCell activation could limit </w:t>
      </w:r>
      <w:r w:rsidR="00B363C8">
        <w:t xml:space="preserve">the </w:t>
      </w:r>
      <w:r>
        <w:t xml:space="preserve">potential power saving due to PCell </w:t>
      </w:r>
      <w:r w:rsidR="00B363C8">
        <w:t>BW</w:t>
      </w:r>
      <w:r>
        <w:t xml:space="preserve"> adaptation</w:t>
      </w:r>
      <w:r w:rsidR="00B363C8">
        <w:t>.</w:t>
      </w:r>
    </w:p>
    <w:p w14:paraId="4DC2B222" w14:textId="71E43DEF" w:rsidR="00134B15" w:rsidRDefault="00134B15" w:rsidP="0053268B">
      <w:pPr>
        <w:overflowPunct/>
        <w:autoSpaceDE/>
        <w:autoSpaceDN/>
        <w:adjustRightInd/>
        <w:spacing w:after="240"/>
        <w:textAlignment w:val="auto"/>
      </w:pPr>
      <w:r>
        <w:t>One could argue that the mismatch is due to comparing BWP switching (in PCell) and SCell activation. We could</w:t>
      </w:r>
      <w:r w:rsidR="006C0D37">
        <w:t xml:space="preserve"> instead</w:t>
      </w:r>
      <w:r>
        <w:t xml:space="preserve"> just keep SCell activated and then there would be no mismatch between BWP switching in PCell and SCell, because it has </w:t>
      </w:r>
      <w:r w:rsidR="00B308C7">
        <w:t>been agreed that regardless of C</w:t>
      </w:r>
      <w:r>
        <w:t xml:space="preserve">ell type, DCI signaling is used for BWP switching. However, this </w:t>
      </w:r>
      <w:r>
        <w:lastRenderedPageBreak/>
        <w:t xml:space="preserve">argument overlooks </w:t>
      </w:r>
      <w:r w:rsidR="0099647E">
        <w:t>one important</w:t>
      </w:r>
      <w:r>
        <w:t xml:space="preserve"> intention of BWP switching – which is to switch between narrower BW and wider BW. If SCell is activated most of the time, and at least one o</w:t>
      </w:r>
      <w:r w:rsidR="00B308C7">
        <w:t>f its BWP must be active, this c</w:t>
      </w:r>
      <w:r>
        <w:t>ould dictate the overall RF bandwidth and render BWP switching between narrow and wide BW pointless, from the UE power saving perspective.</w:t>
      </w:r>
    </w:p>
    <w:p w14:paraId="19690A52" w14:textId="1452B075" w:rsidR="006D7115" w:rsidRDefault="006C0D37" w:rsidP="0053268B">
      <w:pPr>
        <w:overflowPunct/>
        <w:autoSpaceDE/>
        <w:autoSpaceDN/>
        <w:adjustRightInd/>
        <w:spacing w:after="240"/>
        <w:textAlignment w:val="auto"/>
      </w:pPr>
      <w:r>
        <w:t xml:space="preserve">From the point of view of adapting overall RF bandwidth for power saving, it follows that SCell activation/deactivation should </w:t>
      </w:r>
      <w:r w:rsidR="006D7115" w:rsidRPr="006D7115">
        <w:t>align to the time scale of BWP switching in PCell</w:t>
      </w:r>
      <w:r>
        <w:t>. This</w:t>
      </w:r>
      <w:r w:rsidR="006D7115" w:rsidRPr="006D7115">
        <w:t xml:space="preserve"> means SCell activation/deactivation should also be signaled via DCI.</w:t>
      </w:r>
    </w:p>
    <w:p w14:paraId="434843F5" w14:textId="3DCCAFA9" w:rsidR="006C0D37" w:rsidRDefault="006C0D37" w:rsidP="0053268B">
      <w:pPr>
        <w:overflowPunct/>
        <w:autoSpaceDE/>
        <w:autoSpaceDN/>
        <w:adjustRightInd/>
        <w:spacing w:after="240"/>
        <w:textAlignment w:val="auto"/>
      </w:pPr>
      <w:r>
        <w:t xml:space="preserve">If SCell activation and SCell BWP activation are both signaled via DCI, a natural question arises: </w:t>
      </w:r>
      <w:r w:rsidR="0090672A">
        <w:t>Can the two signaling framework be unified</w:t>
      </w:r>
      <w:r>
        <w:t>?</w:t>
      </w:r>
    </w:p>
    <w:p w14:paraId="07EB585E" w14:textId="7E795989" w:rsidR="006C0D37" w:rsidRDefault="0090672A" w:rsidP="0053268B">
      <w:pPr>
        <w:overflowPunct/>
        <w:autoSpaceDE/>
        <w:autoSpaceDN/>
        <w:adjustRightInd/>
        <w:spacing w:after="240"/>
        <w:textAlignment w:val="auto"/>
      </w:pPr>
      <w:r>
        <w:t xml:space="preserve">In the following, a design approach based on extending the BWP signaling framework to perform SCell activation/deactivation will be </w:t>
      </w:r>
      <w:r w:rsidR="00D05FFE">
        <w:t>discussed</w:t>
      </w:r>
      <w:r>
        <w:t>.</w:t>
      </w:r>
    </w:p>
    <w:p w14:paraId="65912A7B" w14:textId="25ACDC4D" w:rsidR="0090672A" w:rsidRDefault="0090672A" w:rsidP="0053268B">
      <w:pPr>
        <w:pStyle w:val="Heading2"/>
      </w:pPr>
      <w:r>
        <w:t>SCell Activation/Deactivation</w:t>
      </w:r>
      <w:r w:rsidR="00D374E1">
        <w:t xml:space="preserve"> via BWP Signaling</w:t>
      </w:r>
    </w:p>
    <w:p w14:paraId="245D6FD3" w14:textId="022448C7" w:rsidR="0099647E" w:rsidRDefault="0099647E" w:rsidP="0099647E">
      <w:r>
        <w:t xml:space="preserve">In our view, CC and BWP management should be handled via a common framework, i.e., pre-configuration via UE-specific RRC and unified activation/deactivation including CC and BWP as explained above. We consider adopting a unified handling for CA/BWP activation/deactivation instead of separate activation/deactivation for CA and BWP. </w:t>
      </w:r>
    </w:p>
    <w:p w14:paraId="2C2DC466" w14:textId="77777777" w:rsidR="00106C39" w:rsidRDefault="00106C39" w:rsidP="00106C39">
      <w:pPr>
        <w:pStyle w:val="Heading3"/>
      </w:pPr>
      <w:r>
        <w:t>Extending BWP Framework for PCell to SCell</w:t>
      </w:r>
    </w:p>
    <w:p w14:paraId="55EE4E2F" w14:textId="77777777" w:rsidR="00106C39" w:rsidRDefault="00106C39" w:rsidP="00106C39">
      <w:pPr>
        <w:rPr>
          <w:lang w:val="en-GB"/>
        </w:rPr>
      </w:pPr>
      <w:r>
        <w:rPr>
          <w:lang w:val="en-GB"/>
        </w:rPr>
        <w:t>SCell activation/deactivation is an issue that has to be handled. We can leverage the BWP framework from PCell and apply that to SCell. Similar to PCell, there is always one active BWP for each link direction for a SCell. When a SCell is configured, its activated/deactivated state is solely derived from the state of its associated BWP.</w:t>
      </w:r>
    </w:p>
    <w:p w14:paraId="323A3D03" w14:textId="05C652C4" w:rsidR="00106C39" w:rsidRDefault="00106C39" w:rsidP="00106C39">
      <w:pPr>
        <w:rPr>
          <w:lang w:val="en-GB"/>
        </w:rPr>
      </w:pPr>
      <w:r>
        <w:rPr>
          <w:lang w:val="en-GB"/>
        </w:rPr>
        <w:t xml:space="preserve">If one of the BWP configured (implicitly or explicitly) for the SCell can </w:t>
      </w:r>
      <w:r w:rsidR="00F37C39">
        <w:rPr>
          <w:lang w:val="en-GB"/>
        </w:rPr>
        <w:t xml:space="preserve">map to </w:t>
      </w:r>
      <w:r>
        <w:rPr>
          <w:lang w:val="en-GB"/>
        </w:rPr>
        <w:t xml:space="preserve">the SCell deactivated state, we </w:t>
      </w:r>
      <w:r w:rsidR="00F37C39">
        <w:rPr>
          <w:lang w:val="en-GB"/>
        </w:rPr>
        <w:t xml:space="preserve">can </w:t>
      </w:r>
      <w:r>
        <w:rPr>
          <w:lang w:val="en-GB"/>
        </w:rPr>
        <w:t>have a nice framework to support SCell activation/deactivation completely based on BWP switching.</w:t>
      </w:r>
      <w:r w:rsidR="00F37C39">
        <w:rPr>
          <w:lang w:val="en-GB"/>
        </w:rPr>
        <w:t xml:space="preserve"> </w:t>
      </w:r>
      <w:r>
        <w:rPr>
          <w:lang w:val="en-GB"/>
        </w:rPr>
        <w:t>More details will be discussed in the following sections.</w:t>
      </w:r>
    </w:p>
    <w:p w14:paraId="764DB868" w14:textId="0FC558FF" w:rsidR="00D22ECC" w:rsidRDefault="00D22ECC" w:rsidP="00D22ECC">
      <w:pPr>
        <w:pStyle w:val="Heading3"/>
      </w:pPr>
      <w:r>
        <w:t>SCell Activation/Deactivation</w:t>
      </w:r>
      <w:r w:rsidR="00260669">
        <w:t xml:space="preserve"> Considerations</w:t>
      </w:r>
    </w:p>
    <w:p w14:paraId="2F97AA60" w14:textId="5753884A" w:rsidR="0099647E" w:rsidRDefault="0099647E" w:rsidP="0099647E">
      <w:r>
        <w:t xml:space="preserve">For all CCs, there will be BWP/CA configuration via UE-specific RRC. For each CC, multiple BWPs can be configured. </w:t>
      </w:r>
      <w:r w:rsidR="00D22ECC">
        <w:rPr>
          <w:lang w:val="en-GB"/>
        </w:rPr>
        <w:t xml:space="preserve">BWP configuration for SCell can be done as part of SCell configuration. </w:t>
      </w:r>
      <w:r>
        <w:t>For SCell activation/deactivation, given the existence of BWP, no separate activation/deactivation is necessary in NR. In other words, i</w:t>
      </w:r>
      <w:r w:rsidRPr="007D120C">
        <w:t>f any BWP is activated</w:t>
      </w:r>
      <w:r>
        <w:t xml:space="preserve"> in SCell</w:t>
      </w:r>
      <w:r w:rsidRPr="007D120C">
        <w:t xml:space="preserve">, SCell is considered to be activated. If all the BWPs are deactivated, SCell is </w:t>
      </w:r>
      <w:r>
        <w:t xml:space="preserve">considered to be </w:t>
      </w:r>
      <w:r w:rsidRPr="007D120C">
        <w:t>deactivated</w:t>
      </w:r>
      <w:r>
        <w:t xml:space="preserve">. In order to provide robust operation with activation/deactivation of BWP/CA, ACK response should be associated with the activation/deactivation indication in DCI. For BWP activation, it was agreed that BWP can be activated via a scheduling DCI with grant. In addition to the scheduling DCI, BWP activation via a DCI without grant is </w:t>
      </w:r>
      <w:r w:rsidR="00C0734B">
        <w:t xml:space="preserve">for further study </w:t>
      </w:r>
      <w:r w:rsidR="00260669">
        <w:fldChar w:fldCharType="begin"/>
      </w:r>
      <w:r w:rsidR="00260669">
        <w:instrText xml:space="preserve"> REF _Ref494542387 \r \h </w:instrText>
      </w:r>
      <w:r w:rsidR="00260669">
        <w:fldChar w:fldCharType="separate"/>
      </w:r>
      <w:r w:rsidR="00092D01">
        <w:t>[3]</w:t>
      </w:r>
      <w:r w:rsidR="00260669">
        <w:fldChar w:fldCharType="end"/>
      </w:r>
      <w:r>
        <w:t>. It should be noted that the BWP activation via a scheduling DCI with grant assumes that UE performs pre-measurements/reporting of CSI on new BWP. This may not be desirable especially for UE in narrowband BWP mode for power saving. Thus, it will be beneficial to allow activation via a DCI without grant. In this way, UE can first activate a new BWP, perform measurements/reporting and NW can start scheduling in the new BWP. Someone can argue that this has a longer latency but in fact the actual latency may not be different between DCI-based activation with or without grant from the point when NW requests a CSI reporting for a new BWP. Especially f</w:t>
      </w:r>
      <w:r w:rsidRPr="0052340B">
        <w:t xml:space="preserve">or cross-carrier BWP activation (SCell activation), </w:t>
      </w:r>
      <w:r>
        <w:t xml:space="preserve">it is proposed that </w:t>
      </w:r>
      <w:r w:rsidRPr="0052340B">
        <w:t>BWP activation without grant</w:t>
      </w:r>
      <w:r>
        <w:t xml:space="preserve"> only</w:t>
      </w:r>
      <w:r w:rsidRPr="0052340B">
        <w:t xml:space="preserve"> </w:t>
      </w:r>
      <w:r>
        <w:t>be</w:t>
      </w:r>
      <w:r w:rsidRPr="0052340B">
        <w:t xml:space="preserve"> used to avoid confusion in A/N codebook</w:t>
      </w:r>
      <w:r>
        <w:t xml:space="preserve"> for error events. </w:t>
      </w:r>
      <w:r w:rsidRPr="0052077A">
        <w:t>For the case of BWP activation/deactivation without grant, A</w:t>
      </w:r>
      <w:r>
        <w:t>CK</w:t>
      </w:r>
      <w:r w:rsidRPr="0052077A">
        <w:t xml:space="preserve"> resource needs to be determined b</w:t>
      </w:r>
      <w:r>
        <w:t xml:space="preserve">ased on DCI itself given there is no grant. </w:t>
      </w:r>
      <w:r w:rsidRPr="0052077A">
        <w:t xml:space="preserve">For example, there can be </w:t>
      </w:r>
      <w:r>
        <w:t xml:space="preserve">RRC </w:t>
      </w:r>
      <w:r w:rsidRPr="0052077A">
        <w:t>configured multiple A</w:t>
      </w:r>
      <w:r>
        <w:t>CK</w:t>
      </w:r>
      <w:r w:rsidRPr="0052077A">
        <w:t xml:space="preserve"> resources</w:t>
      </w:r>
      <w:r>
        <w:t xml:space="preserve"> and</w:t>
      </w:r>
      <w:r w:rsidRPr="0052077A">
        <w:t xml:space="preserve"> DCI </w:t>
      </w:r>
      <w:r>
        <w:t xml:space="preserve">can </w:t>
      </w:r>
      <w:r w:rsidRPr="0052077A">
        <w:t>indicate the A</w:t>
      </w:r>
      <w:r>
        <w:t>CK</w:t>
      </w:r>
      <w:r w:rsidRPr="0052077A">
        <w:t xml:space="preserve"> resource</w:t>
      </w:r>
      <w:r>
        <w:t xml:space="preserve"> to use</w:t>
      </w:r>
      <w:r w:rsidRPr="0052077A">
        <w:t>.</w:t>
      </w:r>
    </w:p>
    <w:p w14:paraId="686FEB9B" w14:textId="0F154C25" w:rsidR="0099647E" w:rsidRDefault="0099647E" w:rsidP="0099647E">
      <w:pPr>
        <w:pStyle w:val="Caption"/>
        <w:rPr>
          <w:lang w:val="en-GB"/>
        </w:rPr>
      </w:pPr>
      <w:bookmarkStart w:id="5" w:name="_Toc494704852"/>
      <w:bookmarkStart w:id="6" w:name="_Toc494713150"/>
      <w:bookmarkStart w:id="7" w:name="_Toc494713324"/>
      <w:bookmarkStart w:id="8" w:name="_Toc494713412"/>
      <w:bookmarkStart w:id="9" w:name="_Toc494734980"/>
      <w:bookmarkStart w:id="10" w:name="_Toc494735046"/>
      <w:bookmarkStart w:id="11" w:name="_Toc494735623"/>
      <w:bookmarkStart w:id="12" w:name="_Toc494745987"/>
      <w:bookmarkStart w:id="13" w:name="_Toc494746304"/>
      <w:r>
        <w:t xml:space="preserve">Proposal </w:t>
      </w:r>
      <w:r w:rsidR="002D547D">
        <w:fldChar w:fldCharType="begin"/>
      </w:r>
      <w:r w:rsidR="002D547D">
        <w:instrText xml:space="preserve"> SEQ Proposal \* ARABIC </w:instrText>
      </w:r>
      <w:r w:rsidR="002D547D">
        <w:fldChar w:fldCharType="separate"/>
      </w:r>
      <w:r w:rsidR="00092D01">
        <w:rPr>
          <w:noProof/>
        </w:rPr>
        <w:t>1</w:t>
      </w:r>
      <w:r w:rsidR="002D547D">
        <w:rPr>
          <w:noProof/>
        </w:rPr>
        <w:fldChar w:fldCharType="end"/>
      </w:r>
      <w:r>
        <w:t xml:space="preserve">: </w:t>
      </w:r>
      <w:r>
        <w:rPr>
          <w:lang w:val="en-GB"/>
        </w:rPr>
        <w:t>NR adopts a unified framework for configuration/activation/deactivation of CC and BWP.</w:t>
      </w:r>
      <w:bookmarkEnd w:id="5"/>
      <w:bookmarkEnd w:id="6"/>
      <w:bookmarkEnd w:id="7"/>
      <w:bookmarkEnd w:id="8"/>
      <w:bookmarkEnd w:id="9"/>
      <w:bookmarkEnd w:id="10"/>
      <w:bookmarkEnd w:id="11"/>
      <w:bookmarkEnd w:id="12"/>
      <w:bookmarkEnd w:id="13"/>
    </w:p>
    <w:p w14:paraId="4A362B70" w14:textId="77777777" w:rsidR="0099647E" w:rsidRPr="0053268B" w:rsidRDefault="0099647E" w:rsidP="0099647E">
      <w:pPr>
        <w:pStyle w:val="ListParagraph"/>
        <w:rPr>
          <w:b/>
        </w:rPr>
      </w:pPr>
      <w:r w:rsidRPr="0053268B">
        <w:rPr>
          <w:b/>
        </w:rPr>
        <w:t>For each CC, BWP(s) are configured via UE-specific RRC</w:t>
      </w:r>
    </w:p>
    <w:p w14:paraId="1B2D4979" w14:textId="77777777" w:rsidR="0099647E" w:rsidRPr="0053268B" w:rsidRDefault="0099647E" w:rsidP="0099647E">
      <w:pPr>
        <w:pStyle w:val="ListParagraph"/>
        <w:rPr>
          <w:b/>
        </w:rPr>
      </w:pPr>
      <w:r w:rsidRPr="0053268B">
        <w:rPr>
          <w:b/>
        </w:rPr>
        <w:t>L1 activation/deactivation of BWP via DCI followed by ACK</w:t>
      </w:r>
    </w:p>
    <w:p w14:paraId="33685C02" w14:textId="77777777" w:rsidR="0099647E" w:rsidRPr="0053268B" w:rsidRDefault="0099647E" w:rsidP="0099647E">
      <w:pPr>
        <w:pStyle w:val="ListParagraph"/>
        <w:numPr>
          <w:ilvl w:val="1"/>
          <w:numId w:val="32"/>
        </w:numPr>
        <w:rPr>
          <w:b/>
        </w:rPr>
      </w:pPr>
      <w:r w:rsidRPr="0053268B">
        <w:rPr>
          <w:b/>
        </w:rPr>
        <w:t>Both DCI with grant and without grant is supported</w:t>
      </w:r>
    </w:p>
    <w:p w14:paraId="459E8348" w14:textId="77777777" w:rsidR="0099647E" w:rsidRPr="0053268B" w:rsidRDefault="0099647E" w:rsidP="0099647E">
      <w:pPr>
        <w:pStyle w:val="ListParagraph"/>
        <w:rPr>
          <w:b/>
        </w:rPr>
      </w:pPr>
      <w:r w:rsidRPr="0053268B">
        <w:rPr>
          <w:b/>
        </w:rPr>
        <w:t>No separate activation/deactivation of SCell in NR</w:t>
      </w:r>
    </w:p>
    <w:p w14:paraId="6D1F30BA" w14:textId="77777777" w:rsidR="0099647E" w:rsidRPr="0053268B" w:rsidRDefault="0099647E" w:rsidP="0099647E">
      <w:pPr>
        <w:pStyle w:val="ListParagraph"/>
        <w:numPr>
          <w:ilvl w:val="1"/>
          <w:numId w:val="32"/>
        </w:numPr>
        <w:rPr>
          <w:b/>
        </w:rPr>
      </w:pPr>
      <w:r w:rsidRPr="0053268B">
        <w:rPr>
          <w:b/>
        </w:rPr>
        <w:t>If any BWP is activated in SCell, SCell is considered to be activated. If all the BWPs are deactivated, SCell is considered to be deactivated.</w:t>
      </w:r>
    </w:p>
    <w:p w14:paraId="609D4C06" w14:textId="3AA06948" w:rsidR="0099647E" w:rsidRPr="0053268B" w:rsidRDefault="0099647E" w:rsidP="0099647E">
      <w:pPr>
        <w:pStyle w:val="ListParagraph"/>
        <w:numPr>
          <w:ilvl w:val="1"/>
          <w:numId w:val="32"/>
        </w:numPr>
        <w:rPr>
          <w:b/>
        </w:rPr>
      </w:pPr>
      <w:r w:rsidRPr="0053268B">
        <w:rPr>
          <w:b/>
        </w:rPr>
        <w:t xml:space="preserve">Zero BWP is considered to map </w:t>
      </w:r>
      <w:r w:rsidR="00F37C39">
        <w:rPr>
          <w:b/>
        </w:rPr>
        <w:t xml:space="preserve">to the </w:t>
      </w:r>
      <w:r w:rsidRPr="0053268B">
        <w:rPr>
          <w:b/>
        </w:rPr>
        <w:t>SCell deactivated state</w:t>
      </w:r>
    </w:p>
    <w:p w14:paraId="0D7A7725" w14:textId="77777777" w:rsidR="0099647E" w:rsidRPr="0053268B" w:rsidRDefault="0099647E" w:rsidP="0099647E">
      <w:pPr>
        <w:pStyle w:val="ListParagraph"/>
        <w:rPr>
          <w:b/>
        </w:rPr>
      </w:pPr>
      <w:r w:rsidRPr="0053268B">
        <w:rPr>
          <w:b/>
        </w:rPr>
        <w:lastRenderedPageBreak/>
        <w:t>For cross-carrier BWP activation (SCell activation), BWP activation without grant is used only (i.e., no cross-carrier BWP activation with a scheduling DCI with grant)</w:t>
      </w:r>
    </w:p>
    <w:p w14:paraId="2D361A88" w14:textId="6B8F66D8" w:rsidR="00D22ECC" w:rsidRDefault="00D22ECC" w:rsidP="00D22ECC">
      <w:pPr>
        <w:rPr>
          <w:lang w:val="en-GB"/>
        </w:rPr>
      </w:pPr>
      <w:r>
        <w:rPr>
          <w:lang w:val="en-GB"/>
        </w:rPr>
        <w:t xml:space="preserve">There is at least one BWP configured for the SCell, and there must be a BWP designated as the “default BWP”. The default BWP is the BWP for timer fallback. </w:t>
      </w:r>
      <w:r w:rsidR="00F37C39">
        <w:rPr>
          <w:lang w:val="en-GB"/>
        </w:rPr>
        <w:t xml:space="preserve">There can be a special BWP, called the “zero BWP”, whose purpose is to map to the SCell deactivated state. Zero BWP can be considered one of the BWP configurations associated with the SCell. </w:t>
      </w:r>
      <w:r>
        <w:rPr>
          <w:lang w:val="en-GB"/>
        </w:rPr>
        <w:t>When the timer expires, active BWP is switched to the default BWP. In the case of SCell, we propose “zero BWP” to be the default BWP. This implies SCell is deactivated after the timer expiration. There can also be explicit BWP switching DCI to switch the active BWP to the zero BWP. This also effectively deactivates the SCell.</w:t>
      </w:r>
    </w:p>
    <w:p w14:paraId="3BE797F0" w14:textId="25083187" w:rsidR="00D22ECC" w:rsidRDefault="00D22ECC" w:rsidP="00D22ECC">
      <w:pPr>
        <w:pStyle w:val="Caption"/>
      </w:pPr>
      <w:bookmarkStart w:id="14" w:name="_Toc494704853"/>
      <w:bookmarkStart w:id="15" w:name="_Toc494713151"/>
      <w:bookmarkStart w:id="16" w:name="_Toc494713325"/>
      <w:bookmarkStart w:id="17" w:name="_Toc494713413"/>
      <w:bookmarkStart w:id="18" w:name="_Toc494734981"/>
      <w:bookmarkStart w:id="19" w:name="_Toc494735047"/>
      <w:bookmarkStart w:id="20" w:name="_Toc494735624"/>
      <w:bookmarkStart w:id="21" w:name="_Toc494745988"/>
      <w:bookmarkStart w:id="22" w:name="_Toc494746305"/>
      <w:r>
        <w:t xml:space="preserve">Proposal </w:t>
      </w:r>
      <w:r w:rsidR="002D547D">
        <w:fldChar w:fldCharType="begin"/>
      </w:r>
      <w:r w:rsidR="002D547D">
        <w:instrText xml:space="preserve"> SEQ Proposal \* ARABIC </w:instrText>
      </w:r>
      <w:r w:rsidR="002D547D">
        <w:fldChar w:fldCharType="separate"/>
      </w:r>
      <w:r w:rsidR="00092D01">
        <w:rPr>
          <w:noProof/>
        </w:rPr>
        <w:t>2</w:t>
      </w:r>
      <w:r w:rsidR="002D547D">
        <w:rPr>
          <w:noProof/>
        </w:rPr>
        <w:fldChar w:fldCharType="end"/>
      </w:r>
      <w:r>
        <w:t>: Zero BWP is the default BWP for SCell for timer fallback.</w:t>
      </w:r>
      <w:bookmarkEnd w:id="14"/>
      <w:bookmarkEnd w:id="15"/>
      <w:bookmarkEnd w:id="16"/>
      <w:bookmarkEnd w:id="17"/>
      <w:bookmarkEnd w:id="18"/>
      <w:bookmarkEnd w:id="19"/>
      <w:bookmarkEnd w:id="20"/>
      <w:bookmarkEnd w:id="21"/>
      <w:bookmarkEnd w:id="22"/>
    </w:p>
    <w:p w14:paraId="1071A677" w14:textId="17C3B241" w:rsidR="00D22ECC" w:rsidRDefault="00D22ECC" w:rsidP="00D22ECC">
      <w:pPr>
        <w:rPr>
          <w:lang w:val="en-GB"/>
        </w:rPr>
      </w:pPr>
      <w:r>
        <w:rPr>
          <w:lang w:val="en-GB"/>
        </w:rPr>
        <w:t xml:space="preserve">This framework </w:t>
      </w:r>
      <w:r w:rsidR="00FC338D">
        <w:rPr>
          <w:lang w:val="en-GB"/>
        </w:rPr>
        <w:t>may</w:t>
      </w:r>
      <w:r>
        <w:rPr>
          <w:lang w:val="en-GB"/>
        </w:rPr>
        <w:t xml:space="preserve"> be extended to multiple active BWP case, but because multiple active BWP is not targeted for Rel 15 Phase 1, the discussion will be deferred.</w:t>
      </w:r>
    </w:p>
    <w:p w14:paraId="499A1552" w14:textId="35532918" w:rsidR="00BE6038" w:rsidRDefault="00BE6038" w:rsidP="00D22ECC">
      <w:pPr>
        <w:rPr>
          <w:lang w:val="en-GB"/>
        </w:rPr>
      </w:pPr>
      <w:r>
        <w:rPr>
          <w:lang w:val="en-GB"/>
        </w:rPr>
        <w:t xml:space="preserve">Please also see our companion contribution </w:t>
      </w:r>
      <w:r>
        <w:rPr>
          <w:lang w:val="en-GB"/>
        </w:rPr>
        <w:fldChar w:fldCharType="begin"/>
      </w:r>
      <w:r>
        <w:rPr>
          <w:lang w:val="en-GB"/>
        </w:rPr>
        <w:instrText xml:space="preserve"> REF _Ref494746235 \r \h </w:instrText>
      </w:r>
      <w:r>
        <w:rPr>
          <w:lang w:val="en-GB"/>
        </w:rPr>
      </w:r>
      <w:r>
        <w:rPr>
          <w:lang w:val="en-GB"/>
        </w:rPr>
        <w:fldChar w:fldCharType="separate"/>
      </w:r>
      <w:r w:rsidR="00092D01">
        <w:rPr>
          <w:lang w:val="en-GB"/>
        </w:rPr>
        <w:t>[5]</w:t>
      </w:r>
      <w:r>
        <w:rPr>
          <w:lang w:val="en-GB"/>
        </w:rPr>
        <w:fldChar w:fldCharType="end"/>
      </w:r>
      <w:r>
        <w:rPr>
          <w:lang w:val="en-GB"/>
        </w:rPr>
        <w:t xml:space="preserve"> with discussion on some issues related to BWP</w:t>
      </w:r>
      <w:r w:rsidR="002F3C04">
        <w:rPr>
          <w:lang w:val="en-GB"/>
        </w:rPr>
        <w:t xml:space="preserve">, and RAN4 contribution on CA and BWP </w:t>
      </w:r>
      <w:r w:rsidR="002F3C04">
        <w:rPr>
          <w:lang w:val="en-GB"/>
        </w:rPr>
        <w:fldChar w:fldCharType="begin"/>
      </w:r>
      <w:r w:rsidR="002F3C04">
        <w:rPr>
          <w:lang w:val="en-GB"/>
        </w:rPr>
        <w:instrText xml:space="preserve"> REF _Ref494746569 \r \h </w:instrText>
      </w:r>
      <w:r w:rsidR="002F3C04">
        <w:rPr>
          <w:lang w:val="en-GB"/>
        </w:rPr>
      </w:r>
      <w:r w:rsidR="002F3C04">
        <w:rPr>
          <w:lang w:val="en-GB"/>
        </w:rPr>
        <w:fldChar w:fldCharType="separate"/>
      </w:r>
      <w:r w:rsidR="00092D01">
        <w:rPr>
          <w:lang w:val="en-GB"/>
        </w:rPr>
        <w:t>[6]</w:t>
      </w:r>
      <w:r w:rsidR="002F3C04">
        <w:rPr>
          <w:lang w:val="en-GB"/>
        </w:rPr>
        <w:fldChar w:fldCharType="end"/>
      </w:r>
      <w:r w:rsidR="002F3C04">
        <w:rPr>
          <w:lang w:val="en-GB"/>
        </w:rPr>
        <w:t>.</w:t>
      </w:r>
    </w:p>
    <w:p w14:paraId="07D7EEF4" w14:textId="25BE90C1" w:rsidR="00FC338D" w:rsidRDefault="00FC338D" w:rsidP="00FC338D">
      <w:pPr>
        <w:pStyle w:val="Caption"/>
      </w:pPr>
    </w:p>
    <w:p w14:paraId="0EDDE339" w14:textId="6729CA03" w:rsidR="00203658" w:rsidRPr="00644AB6" w:rsidRDefault="00203658" w:rsidP="0053268B">
      <w:pPr>
        <w:pStyle w:val="Heading3"/>
      </w:pPr>
      <w:r>
        <w:t>Group Activation of Multiple SCell</w:t>
      </w:r>
    </w:p>
    <w:p w14:paraId="1D26D1B0" w14:textId="3CC38AEB" w:rsidR="00203658" w:rsidRDefault="00C67E2E" w:rsidP="0053268B">
      <w:pPr>
        <w:rPr>
          <w:lang w:val="en-GB"/>
        </w:rPr>
      </w:pPr>
      <w:r>
        <w:rPr>
          <w:lang w:val="en-GB"/>
        </w:rPr>
        <w:t>If multiple SCell need to be activated</w:t>
      </w:r>
      <w:r w:rsidR="001F5147">
        <w:rPr>
          <w:lang w:val="en-GB"/>
        </w:rPr>
        <w:t xml:space="preserve">, instead of sending individual BWP DCI to activate </w:t>
      </w:r>
      <w:r w:rsidR="00257B60">
        <w:rPr>
          <w:lang w:val="en-GB"/>
        </w:rPr>
        <w:t xml:space="preserve">the </w:t>
      </w:r>
      <w:r w:rsidR="00B953FF">
        <w:rPr>
          <w:lang w:val="en-GB"/>
        </w:rPr>
        <w:t xml:space="preserve">BWP configured for </w:t>
      </w:r>
      <w:r w:rsidR="00257B60">
        <w:rPr>
          <w:lang w:val="en-GB"/>
        </w:rPr>
        <w:t xml:space="preserve">each </w:t>
      </w:r>
      <w:r w:rsidR="00B953FF">
        <w:rPr>
          <w:lang w:val="en-GB"/>
        </w:rPr>
        <w:t>SCell, a group BWP DCI can be supported. Group BWP DCI contains no grant; It contains the activation information for the BWP configured for the</w:t>
      </w:r>
      <w:r w:rsidR="004E7C11">
        <w:rPr>
          <w:lang w:val="en-GB"/>
        </w:rPr>
        <w:t xml:space="preserve"> SCell</w:t>
      </w:r>
      <w:r w:rsidR="00F07D39">
        <w:rPr>
          <w:lang w:val="en-GB"/>
        </w:rPr>
        <w:t xml:space="preserve">. </w:t>
      </w:r>
      <w:r w:rsidR="00257B60">
        <w:rPr>
          <w:lang w:val="en-GB"/>
        </w:rPr>
        <w:t xml:space="preserve">In the most generic form, the supported combinations </w:t>
      </w:r>
      <w:r w:rsidR="006F2F4D">
        <w:rPr>
          <w:lang w:val="en-GB"/>
        </w:rPr>
        <w:t xml:space="preserve">of BWP activation state in association with SCell identification </w:t>
      </w:r>
      <w:r w:rsidR="00257B60">
        <w:rPr>
          <w:lang w:val="en-GB"/>
        </w:rPr>
        <w:t>can be organized in a table that is known by both gNB and UE, either based on specification or configuration (e.g. UE-specific RRC signaling)</w:t>
      </w:r>
      <w:r w:rsidR="006F2F4D">
        <w:rPr>
          <w:lang w:val="en-GB"/>
        </w:rPr>
        <w:t>. Group BWP DCI may indicate which entry of the table is selected. In another example, some form of explicit/implicit indication of SCell identification and BWP activation can be signalled in the DCI without the need for a table.</w:t>
      </w:r>
    </w:p>
    <w:p w14:paraId="7F23D0DA" w14:textId="34B51F21" w:rsidR="00C71082" w:rsidRDefault="00C71082" w:rsidP="0053268B">
      <w:pPr>
        <w:pStyle w:val="Caption"/>
        <w:rPr>
          <w:lang w:val="en-GB"/>
        </w:rPr>
      </w:pPr>
      <w:bookmarkStart w:id="23" w:name="_Toc494674863"/>
      <w:bookmarkStart w:id="24" w:name="_Toc494674953"/>
      <w:bookmarkStart w:id="25" w:name="_Toc494704858"/>
      <w:bookmarkStart w:id="26" w:name="_Toc494713153"/>
      <w:bookmarkStart w:id="27" w:name="_Toc494713327"/>
      <w:bookmarkStart w:id="28" w:name="_Toc494713415"/>
      <w:bookmarkStart w:id="29" w:name="_Toc494734982"/>
      <w:bookmarkStart w:id="30" w:name="_Toc494735048"/>
      <w:bookmarkStart w:id="31" w:name="_Toc494735625"/>
      <w:bookmarkStart w:id="32" w:name="_Toc494745989"/>
      <w:bookmarkStart w:id="33" w:name="_Toc494746306"/>
      <w:r>
        <w:t xml:space="preserve">Proposal </w:t>
      </w:r>
      <w:r w:rsidR="002D547D">
        <w:fldChar w:fldCharType="begin"/>
      </w:r>
      <w:r w:rsidR="002D547D">
        <w:instrText xml:space="preserve"> SEQ Proposal \* ARABIC </w:instrText>
      </w:r>
      <w:r w:rsidR="002D547D">
        <w:fldChar w:fldCharType="separate"/>
      </w:r>
      <w:r w:rsidR="00092D01">
        <w:rPr>
          <w:noProof/>
        </w:rPr>
        <w:t>3</w:t>
      </w:r>
      <w:r w:rsidR="002D547D">
        <w:rPr>
          <w:noProof/>
        </w:rPr>
        <w:fldChar w:fldCharType="end"/>
      </w:r>
      <w:r>
        <w:t xml:space="preserve">: </w:t>
      </w:r>
      <w:r>
        <w:rPr>
          <w:lang w:val="en-GB"/>
        </w:rPr>
        <w:t>Group SCell activation via group BWP DCI (without grant) should be supported in NR.</w:t>
      </w:r>
      <w:bookmarkEnd w:id="23"/>
      <w:bookmarkEnd w:id="24"/>
      <w:bookmarkEnd w:id="25"/>
      <w:bookmarkEnd w:id="26"/>
      <w:bookmarkEnd w:id="27"/>
      <w:bookmarkEnd w:id="28"/>
      <w:bookmarkEnd w:id="29"/>
      <w:bookmarkEnd w:id="30"/>
      <w:bookmarkEnd w:id="31"/>
      <w:bookmarkEnd w:id="32"/>
      <w:bookmarkEnd w:id="33"/>
    </w:p>
    <w:p w14:paraId="547414AF" w14:textId="0099E697" w:rsidR="00F07D39" w:rsidRDefault="00B36906" w:rsidP="0053268B">
      <w:pPr>
        <w:rPr>
          <w:lang w:val="en-GB"/>
        </w:rPr>
      </w:pPr>
      <w:r>
        <w:rPr>
          <w:lang w:val="en-GB"/>
        </w:rPr>
        <w:t xml:space="preserve">Similar to BWP DCI to activate a single SCell, </w:t>
      </w:r>
      <w:r w:rsidR="00DA518C">
        <w:rPr>
          <w:lang w:val="en-GB"/>
        </w:rPr>
        <w:t>UE should send ACK for successful decoding of the group BWP DCI. The dedicated BWP DCI should specify the UL control resources to be used for transmission of the ACK.</w:t>
      </w:r>
    </w:p>
    <w:p w14:paraId="2B2FE794" w14:textId="237812F3" w:rsidR="00721D98" w:rsidRDefault="00721D98" w:rsidP="0053268B">
      <w:pPr>
        <w:pStyle w:val="Caption"/>
        <w:rPr>
          <w:lang w:val="en-GB"/>
        </w:rPr>
      </w:pPr>
      <w:bookmarkStart w:id="34" w:name="_Toc494674864"/>
      <w:bookmarkStart w:id="35" w:name="_Toc494674954"/>
      <w:bookmarkStart w:id="36" w:name="_Toc494704859"/>
      <w:bookmarkStart w:id="37" w:name="_Toc494713154"/>
      <w:bookmarkStart w:id="38" w:name="_Toc494713328"/>
      <w:bookmarkStart w:id="39" w:name="_Toc494713416"/>
      <w:bookmarkStart w:id="40" w:name="_Toc494734983"/>
      <w:bookmarkStart w:id="41" w:name="_Toc494735049"/>
      <w:bookmarkStart w:id="42" w:name="_Toc494735626"/>
      <w:bookmarkStart w:id="43" w:name="_Toc494745990"/>
      <w:bookmarkStart w:id="44" w:name="_Toc494746307"/>
      <w:r>
        <w:t xml:space="preserve">Proposal </w:t>
      </w:r>
      <w:r w:rsidR="002D547D">
        <w:fldChar w:fldCharType="begin"/>
      </w:r>
      <w:r w:rsidR="002D547D">
        <w:instrText xml:space="preserve"> SEQ Pro</w:instrText>
      </w:r>
      <w:r w:rsidR="002D547D">
        <w:instrText xml:space="preserve">posal \* ARABIC </w:instrText>
      </w:r>
      <w:r w:rsidR="002D547D">
        <w:fldChar w:fldCharType="separate"/>
      </w:r>
      <w:r w:rsidR="00092D01">
        <w:rPr>
          <w:noProof/>
        </w:rPr>
        <w:t>4</w:t>
      </w:r>
      <w:r w:rsidR="002D547D">
        <w:rPr>
          <w:noProof/>
        </w:rPr>
        <w:fldChar w:fldCharType="end"/>
      </w:r>
      <w:r>
        <w:t xml:space="preserve">: NR supports </w:t>
      </w:r>
      <w:r>
        <w:rPr>
          <w:lang w:val="en-GB"/>
        </w:rPr>
        <w:t>ACK feedback for successful decoding of the BWP DCI or the group BWP DCI. The dedicated BWP DCI should specify the UL control resources to be used for transmission of the ACK</w:t>
      </w:r>
      <w:bookmarkEnd w:id="34"/>
      <w:bookmarkEnd w:id="35"/>
      <w:bookmarkEnd w:id="36"/>
      <w:bookmarkEnd w:id="37"/>
      <w:bookmarkEnd w:id="38"/>
      <w:bookmarkEnd w:id="39"/>
      <w:bookmarkEnd w:id="40"/>
      <w:bookmarkEnd w:id="41"/>
      <w:bookmarkEnd w:id="42"/>
      <w:bookmarkEnd w:id="43"/>
      <w:bookmarkEnd w:id="44"/>
    </w:p>
    <w:p w14:paraId="028DA4EB" w14:textId="77777777" w:rsidR="00B36906" w:rsidRDefault="00B36906" w:rsidP="0053268B">
      <w:pPr>
        <w:rPr>
          <w:lang w:val="en-GB"/>
        </w:rPr>
      </w:pPr>
    </w:p>
    <w:p w14:paraId="0489A950" w14:textId="210EFD2D" w:rsidR="00FC6624" w:rsidRDefault="00FC6624" w:rsidP="0053268B">
      <w:pPr>
        <w:pStyle w:val="Heading3"/>
      </w:pPr>
      <w:r>
        <w:t>Deactivation of SCell</w:t>
      </w:r>
    </w:p>
    <w:p w14:paraId="571367A3" w14:textId="55BF10B9" w:rsidR="00FC6624" w:rsidRDefault="00FC6624" w:rsidP="0053268B">
      <w:pPr>
        <w:rPr>
          <w:lang w:val="en-GB"/>
        </w:rPr>
      </w:pPr>
      <w:r>
        <w:rPr>
          <w:lang w:val="en-GB"/>
        </w:rPr>
        <w:t xml:space="preserve">To deactivate a SCell, gNB can switch the active BWP to the zero </w:t>
      </w:r>
      <w:r w:rsidR="000421F3">
        <w:rPr>
          <w:lang w:val="en-GB"/>
        </w:rPr>
        <w:t>BWP. This can be done either via</w:t>
      </w:r>
      <w:r>
        <w:rPr>
          <w:lang w:val="en-GB"/>
        </w:rPr>
        <w:t xml:space="preserve"> </w:t>
      </w:r>
      <w:r w:rsidR="00C76C8A">
        <w:rPr>
          <w:lang w:val="en-GB"/>
        </w:rPr>
        <w:t xml:space="preserve">dedicated </w:t>
      </w:r>
      <w:r>
        <w:rPr>
          <w:lang w:val="en-GB"/>
        </w:rPr>
        <w:t>BWP DCI</w:t>
      </w:r>
      <w:r w:rsidR="000421F3">
        <w:rPr>
          <w:lang w:val="en-GB"/>
        </w:rPr>
        <w:t xml:space="preserve"> (without grant)</w:t>
      </w:r>
      <w:r>
        <w:rPr>
          <w:lang w:val="en-GB"/>
        </w:rPr>
        <w:t>, or by timer expiration for the SCell</w:t>
      </w:r>
      <w:r w:rsidR="000421F3">
        <w:rPr>
          <w:lang w:val="en-GB"/>
        </w:rPr>
        <w:t xml:space="preserve"> if the default BWP is also the zero BWP</w:t>
      </w:r>
      <w:r>
        <w:rPr>
          <w:lang w:val="en-GB"/>
        </w:rPr>
        <w:t>. Note that this is the sa</w:t>
      </w:r>
      <w:r w:rsidR="000421F3">
        <w:rPr>
          <w:lang w:val="en-GB"/>
        </w:rPr>
        <w:t>me timer as proposed for BWP as a</w:t>
      </w:r>
      <w:r>
        <w:rPr>
          <w:lang w:val="en-GB"/>
        </w:rPr>
        <w:t xml:space="preserve"> robustness </w:t>
      </w:r>
      <w:r w:rsidR="000421F3">
        <w:rPr>
          <w:lang w:val="en-GB"/>
        </w:rPr>
        <w:t>measure</w:t>
      </w:r>
      <w:r>
        <w:rPr>
          <w:lang w:val="en-GB"/>
        </w:rPr>
        <w:t xml:space="preserve">. When the timer expires due to scheduling inactivity </w:t>
      </w:r>
      <w:r w:rsidR="00B53414">
        <w:rPr>
          <w:lang w:val="en-GB"/>
        </w:rPr>
        <w:t xml:space="preserve">or error condition </w:t>
      </w:r>
      <w:r>
        <w:rPr>
          <w:lang w:val="en-GB"/>
        </w:rPr>
        <w:t>between gNB and UE (for being out-of-sync on the active BWP)</w:t>
      </w:r>
      <w:r w:rsidR="00B53414">
        <w:rPr>
          <w:lang w:val="en-GB"/>
        </w:rPr>
        <w:t xml:space="preserve">, </w:t>
      </w:r>
      <w:r w:rsidR="000421F3">
        <w:rPr>
          <w:lang w:val="en-GB"/>
        </w:rPr>
        <w:t>the active BWP switches to the default BWP.</w:t>
      </w:r>
    </w:p>
    <w:p w14:paraId="19C669EA" w14:textId="2B7D927F" w:rsidR="000421F3" w:rsidRDefault="000421F3" w:rsidP="0053268B">
      <w:pPr>
        <w:rPr>
          <w:lang w:val="en-GB"/>
        </w:rPr>
      </w:pPr>
      <w:r>
        <w:rPr>
          <w:lang w:val="en-GB"/>
        </w:rPr>
        <w:t xml:space="preserve">For group deactivation of SCell, </w:t>
      </w:r>
      <w:r w:rsidR="00C76C8A">
        <w:rPr>
          <w:lang w:val="en-GB"/>
        </w:rPr>
        <w:t xml:space="preserve">a dedicated group BWP DCI can be transmitted on the PCell’s active BWP. </w:t>
      </w:r>
      <w:r w:rsidR="006F2F4D">
        <w:rPr>
          <w:lang w:val="en-GB"/>
        </w:rPr>
        <w:t>The same method as group SCell activation can be used but modified to signal deactivation.</w:t>
      </w:r>
    </w:p>
    <w:p w14:paraId="47898FE3" w14:textId="77777777" w:rsidR="006F2F4D" w:rsidRPr="0053268B" w:rsidRDefault="006F2F4D" w:rsidP="0053268B">
      <w:pPr>
        <w:rPr>
          <w:lang w:val="en-GB"/>
        </w:rPr>
      </w:pPr>
    </w:p>
    <w:p w14:paraId="77CEB87C" w14:textId="46306CD9" w:rsidR="00F07D39" w:rsidRDefault="006B5A7D" w:rsidP="0053268B">
      <w:pPr>
        <w:pStyle w:val="Heading2"/>
      </w:pPr>
      <w:r>
        <w:t>C-DRX and</w:t>
      </w:r>
      <w:r w:rsidR="00C76C8A">
        <w:t xml:space="preserve"> Fast SCell Activation/Deactivation</w:t>
      </w:r>
    </w:p>
    <w:p w14:paraId="7ACBE17E" w14:textId="64F376A1" w:rsidR="00C76C8A" w:rsidRDefault="006B5A7D" w:rsidP="0053268B">
      <w:pPr>
        <w:rPr>
          <w:lang w:val="en-GB"/>
        </w:rPr>
      </w:pPr>
      <w:r>
        <w:rPr>
          <w:lang w:val="en-GB"/>
        </w:rPr>
        <w:t xml:space="preserve">In LTE, because SCell activation/deactivation is signalled via MAC CE, the latency can be quite long. In typical deployment, SCell activation/deactivation is not very dynamic. It would be based on the UE’s </w:t>
      </w:r>
      <w:r w:rsidR="0044596D">
        <w:rPr>
          <w:lang w:val="en-GB"/>
        </w:rPr>
        <w:t>near-term</w:t>
      </w:r>
      <w:r>
        <w:rPr>
          <w:lang w:val="en-GB"/>
        </w:rPr>
        <w:t xml:space="preserve"> traffic loading and/or the basestation’s load-balancing need across carriers.</w:t>
      </w:r>
    </w:p>
    <w:p w14:paraId="0E05F391" w14:textId="54CDB84D" w:rsidR="001A4B4D" w:rsidRPr="0053268B" w:rsidRDefault="001A4B4D" w:rsidP="0053268B">
      <w:pPr>
        <w:rPr>
          <w:lang w:val="en-GB"/>
        </w:rPr>
      </w:pPr>
      <w:r>
        <w:rPr>
          <w:lang w:val="en-GB"/>
        </w:rPr>
        <w:t xml:space="preserve">Typically, connected mode DRX (C-DRX) is configured for UE power saving, and for mobile broadband, a </w:t>
      </w:r>
      <w:r w:rsidR="00263B75">
        <w:rPr>
          <w:lang w:val="en-GB"/>
        </w:rPr>
        <w:t>typical</w:t>
      </w:r>
      <w:r>
        <w:rPr>
          <w:lang w:val="en-GB"/>
        </w:rPr>
        <w:t xml:space="preserve"> configuration</w:t>
      </w:r>
      <w:r w:rsidR="005A54DF">
        <w:rPr>
          <w:lang w:val="en-GB"/>
        </w:rPr>
        <w:t xml:space="preserve"> in LTE</w:t>
      </w:r>
      <w:r>
        <w:rPr>
          <w:lang w:val="en-GB"/>
        </w:rPr>
        <w:t xml:space="preserve"> is DRX cycle of 320 milliseconds and inactivity timer of 100~200 milliseconds. C-DRX operation is common across component carriers (CC), i.e. if the DRX state is ON duration, then all CC are undergoing the ON duration together. </w:t>
      </w:r>
      <w:bookmarkStart w:id="45" w:name="_Hlk494734875"/>
      <w:r>
        <w:rPr>
          <w:lang w:val="en-GB"/>
        </w:rPr>
        <w:t xml:space="preserve">Based on </w:t>
      </w:r>
      <w:r w:rsidR="00FC2F53">
        <w:rPr>
          <w:lang w:val="en-GB"/>
        </w:rPr>
        <w:t xml:space="preserve">DoU </w:t>
      </w:r>
      <w:r>
        <w:rPr>
          <w:lang w:val="en-GB"/>
        </w:rPr>
        <w:t xml:space="preserve">profiling results, even with C-DRX enabled, UE typically </w:t>
      </w:r>
      <w:r w:rsidR="001F2D17">
        <w:rPr>
          <w:lang w:val="en-GB"/>
        </w:rPr>
        <w:t>consume</w:t>
      </w:r>
      <w:r>
        <w:rPr>
          <w:lang w:val="en-GB"/>
        </w:rPr>
        <w:t>s significant amount of power monitoring PDCCH without decoding any grant</w:t>
      </w:r>
      <w:r w:rsidR="00FC2F53">
        <w:rPr>
          <w:lang w:val="en-GB"/>
        </w:rPr>
        <w:t xml:space="preserve"> </w:t>
      </w:r>
      <w:r w:rsidR="00FC2F53">
        <w:rPr>
          <w:lang w:val="en-GB"/>
        </w:rPr>
        <w:fldChar w:fldCharType="begin"/>
      </w:r>
      <w:r w:rsidR="00FC2F53">
        <w:rPr>
          <w:lang w:val="en-GB"/>
        </w:rPr>
        <w:instrText xml:space="preserve"> REF _Ref494735002 \r \h </w:instrText>
      </w:r>
      <w:r w:rsidR="00FC2F53">
        <w:rPr>
          <w:lang w:val="en-GB"/>
        </w:rPr>
      </w:r>
      <w:r w:rsidR="00FC2F53">
        <w:rPr>
          <w:lang w:val="en-GB"/>
        </w:rPr>
        <w:fldChar w:fldCharType="separate"/>
      </w:r>
      <w:r w:rsidR="00092D01">
        <w:rPr>
          <w:lang w:val="en-GB"/>
        </w:rPr>
        <w:t>[3]</w:t>
      </w:r>
      <w:r w:rsidR="00FC2F53">
        <w:rPr>
          <w:lang w:val="en-GB"/>
        </w:rPr>
        <w:fldChar w:fldCharType="end"/>
      </w:r>
      <w:r>
        <w:rPr>
          <w:lang w:val="en-GB"/>
        </w:rPr>
        <w:t xml:space="preserve">. </w:t>
      </w:r>
      <w:bookmarkEnd w:id="45"/>
      <w:r>
        <w:rPr>
          <w:lang w:val="en-GB"/>
        </w:rPr>
        <w:t xml:space="preserve">With SCells being activated, the problem is multiplied as all these SCells all </w:t>
      </w:r>
      <w:r w:rsidR="001F2D17">
        <w:rPr>
          <w:lang w:val="en-GB"/>
        </w:rPr>
        <w:t xml:space="preserve">require </w:t>
      </w:r>
      <w:r>
        <w:rPr>
          <w:lang w:val="en-GB"/>
        </w:rPr>
        <w:t>PDCCH</w:t>
      </w:r>
      <w:r w:rsidR="001F2D17">
        <w:rPr>
          <w:lang w:val="en-GB"/>
        </w:rPr>
        <w:t xml:space="preserve"> monitoring</w:t>
      </w:r>
      <w:r>
        <w:rPr>
          <w:lang w:val="en-GB"/>
        </w:rPr>
        <w:t>. This is significant power drain. One remedy is to use cross-carrier scheduling, so that PDCCH monitoring is performed only on the PCell. However, this has issues on its own, for example, when the number of SCell is large, the burden on PCell DL control capacity could be too much</w:t>
      </w:r>
      <w:r w:rsidR="00FD774E">
        <w:rPr>
          <w:lang w:val="en-GB"/>
        </w:rPr>
        <w:t>, and is not a very scalable solution.</w:t>
      </w:r>
    </w:p>
    <w:p w14:paraId="76A26F85" w14:textId="3ECD0DA8" w:rsidR="00FD1446" w:rsidRDefault="00FD774E" w:rsidP="0053268B">
      <w:pPr>
        <w:rPr>
          <w:lang w:val="en-GB"/>
        </w:rPr>
      </w:pPr>
      <w:r>
        <w:rPr>
          <w:lang w:val="en-GB"/>
        </w:rPr>
        <w:t>Another solution is fast SCell activation/deactivation. UE is first only configured with PCell, and it undergoes C-DRX with PCell only. It may spend significant amount of time and energy monitoring PDCCH, but at least the problem is not multiplicative</w:t>
      </w:r>
      <w:r w:rsidR="00035D1F">
        <w:rPr>
          <w:lang w:val="en-GB"/>
        </w:rPr>
        <w:t xml:space="preserve"> across more carriers</w:t>
      </w:r>
      <w:r>
        <w:rPr>
          <w:lang w:val="en-GB"/>
        </w:rPr>
        <w:t xml:space="preserve">. Only when the amount of traffic is large enough, SCells are activated and it can be done quickly. </w:t>
      </w:r>
      <w:r w:rsidR="00035D1F">
        <w:rPr>
          <w:lang w:val="en-GB"/>
        </w:rPr>
        <w:t xml:space="preserve">Traffic is transferred across all activated cells. </w:t>
      </w:r>
      <w:r>
        <w:rPr>
          <w:lang w:val="en-GB"/>
        </w:rPr>
        <w:t>After the traffic burst tapers off, SCells can be quickly deactivated. Cycles of SCell activation/deactivation can happen within a DRX cycle</w:t>
      </w:r>
      <w:r w:rsidR="00683F24">
        <w:rPr>
          <w:lang w:val="en-GB"/>
        </w:rPr>
        <w:t>, more closely tracking the instantaneous traffic load</w:t>
      </w:r>
      <w:r>
        <w:rPr>
          <w:lang w:val="en-GB"/>
        </w:rPr>
        <w:t xml:space="preserve">.  However, it is not yet clear cross-carrier scheduling can </w:t>
      </w:r>
      <w:r w:rsidR="00FD1446">
        <w:rPr>
          <w:lang w:val="en-GB"/>
        </w:rPr>
        <w:t xml:space="preserve">be </w:t>
      </w:r>
      <w:r>
        <w:rPr>
          <w:lang w:val="en-GB"/>
        </w:rPr>
        <w:t xml:space="preserve">efficient given the shorter slot duration and much more frequent cadence of DL control channel. </w:t>
      </w:r>
      <w:r w:rsidR="00FD1446">
        <w:rPr>
          <w:lang w:val="en-GB"/>
        </w:rPr>
        <w:t>Fast SCell activation/deactivation with same-carrier scheduling provides a good solution to keep UE power consumption in check.</w:t>
      </w:r>
      <w:r w:rsidR="0099464F">
        <w:rPr>
          <w:lang w:val="en-GB"/>
        </w:rPr>
        <w:t xml:space="preserve"> It is estimated that 1/3 of power saving can be attained by monitoring PDCCH only on PCell compared to all cells for a UE </w:t>
      </w:r>
      <w:r w:rsidR="00F02CEF">
        <w:rPr>
          <w:lang w:val="en-GB"/>
        </w:rPr>
        <w:t xml:space="preserve">operating </w:t>
      </w:r>
      <w:r w:rsidR="009140A5">
        <w:rPr>
          <w:lang w:val="en-GB"/>
        </w:rPr>
        <w:t>with eight</w:t>
      </w:r>
      <w:r w:rsidR="0099464F">
        <w:rPr>
          <w:lang w:val="en-GB"/>
        </w:rPr>
        <w:t xml:space="preserve"> </w:t>
      </w:r>
      <w:r w:rsidR="009140A5">
        <w:rPr>
          <w:lang w:val="en-GB"/>
        </w:rPr>
        <w:t xml:space="preserve">mmW </w:t>
      </w:r>
      <w:r w:rsidR="0099464F">
        <w:rPr>
          <w:lang w:val="en-GB"/>
        </w:rPr>
        <w:t>carriers.</w:t>
      </w:r>
    </w:p>
    <w:p w14:paraId="7D09D1A6" w14:textId="17111CE7" w:rsidR="00FD1446" w:rsidRDefault="00FD1446" w:rsidP="0053268B">
      <w:pPr>
        <w:rPr>
          <w:lang w:val="en-GB"/>
        </w:rPr>
      </w:pPr>
    </w:p>
    <w:p w14:paraId="775EE379" w14:textId="787E3B11" w:rsidR="00465A81" w:rsidRDefault="00404707" w:rsidP="0053268B">
      <w:pPr>
        <w:keepNext/>
      </w:pPr>
      <w:r w:rsidRPr="00404707">
        <w:rPr>
          <w:noProof/>
        </w:rPr>
        <w:drawing>
          <wp:inline distT="0" distB="0" distL="0" distR="0" wp14:anchorId="1F6AA913" wp14:editId="09777B59">
            <wp:extent cx="6120130" cy="32670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3267075"/>
                    </a:xfrm>
                    <a:prstGeom prst="rect">
                      <a:avLst/>
                    </a:prstGeom>
                  </pic:spPr>
                </pic:pic>
              </a:graphicData>
            </a:graphic>
          </wp:inline>
        </w:drawing>
      </w:r>
    </w:p>
    <w:p w14:paraId="068E75FB" w14:textId="7E199876" w:rsidR="00FD1446" w:rsidRDefault="00465A81" w:rsidP="0053268B">
      <w:pPr>
        <w:pStyle w:val="Caption"/>
        <w:rPr>
          <w:lang w:val="en-GB"/>
        </w:rPr>
      </w:pPr>
      <w:bookmarkStart w:id="46" w:name="_Ref494669756"/>
      <w:r>
        <w:t xml:space="preserve">Figure </w:t>
      </w:r>
      <w:r w:rsidR="002D547D">
        <w:fldChar w:fldCharType="begin"/>
      </w:r>
      <w:r w:rsidR="002D547D">
        <w:instrText xml:space="preserve"> SEQ Figure \* ARABIC </w:instrText>
      </w:r>
      <w:r w:rsidR="002D547D">
        <w:fldChar w:fldCharType="separate"/>
      </w:r>
      <w:r w:rsidR="00092D01">
        <w:rPr>
          <w:noProof/>
        </w:rPr>
        <w:t>1</w:t>
      </w:r>
      <w:r w:rsidR="002D547D">
        <w:rPr>
          <w:noProof/>
        </w:rPr>
        <w:fldChar w:fldCharType="end"/>
      </w:r>
      <w:bookmarkEnd w:id="46"/>
      <w:r>
        <w:t>: Fast SCell activation/deactivation via BWP signaling</w:t>
      </w:r>
    </w:p>
    <w:p w14:paraId="424A6E3C" w14:textId="7463C549" w:rsidR="00FD774E" w:rsidRDefault="00FD774E" w:rsidP="0053268B">
      <w:pPr>
        <w:rPr>
          <w:lang w:val="en-GB"/>
        </w:rPr>
      </w:pPr>
    </w:p>
    <w:p w14:paraId="32947A01" w14:textId="60A49B0B" w:rsidR="00465A81" w:rsidRDefault="00465A81" w:rsidP="0053268B">
      <w:pPr>
        <w:rPr>
          <w:lang w:val="en-GB"/>
        </w:rPr>
      </w:pPr>
      <w:r>
        <w:rPr>
          <w:lang w:val="en-GB"/>
        </w:rPr>
        <w:fldChar w:fldCharType="begin"/>
      </w:r>
      <w:r>
        <w:rPr>
          <w:lang w:val="en-GB"/>
        </w:rPr>
        <w:instrText xml:space="preserve"> REF _Ref494669756 \h </w:instrText>
      </w:r>
      <w:r>
        <w:rPr>
          <w:lang w:val="en-GB"/>
        </w:rPr>
      </w:r>
      <w:r>
        <w:rPr>
          <w:lang w:val="en-GB"/>
        </w:rPr>
        <w:fldChar w:fldCharType="separate"/>
      </w:r>
      <w:r w:rsidR="00092D01">
        <w:t xml:space="preserve">Figure </w:t>
      </w:r>
      <w:r w:rsidR="00092D01">
        <w:rPr>
          <w:noProof/>
        </w:rPr>
        <w:t>1</w:t>
      </w:r>
      <w:r>
        <w:rPr>
          <w:lang w:val="en-GB"/>
        </w:rPr>
        <w:fldChar w:fldCharType="end"/>
      </w:r>
      <w:r>
        <w:rPr>
          <w:lang w:val="en-GB"/>
        </w:rPr>
        <w:t xml:space="preserve"> illustrates a scenario with PCell and 4 SCells. </w:t>
      </w:r>
      <w:r w:rsidR="00BE6038">
        <w:rPr>
          <w:lang w:val="en-GB"/>
        </w:rPr>
        <w:t xml:space="preserve">Assume that SCell and associated BWP configuration have been done previously via RRC signalling. </w:t>
      </w:r>
      <w:r>
        <w:rPr>
          <w:lang w:val="en-GB"/>
        </w:rPr>
        <w:t>In the first DRX cycle, only PCell is monitored during ON duration of the DRX cycle</w:t>
      </w:r>
      <w:r w:rsidR="00BE6038">
        <w:rPr>
          <w:lang w:val="en-GB"/>
        </w:rPr>
        <w:t>. The BWP used for PDCCH monitoring could be optimized in this case.</w:t>
      </w:r>
      <w:r>
        <w:rPr>
          <w:lang w:val="en-GB"/>
        </w:rPr>
        <w:t xml:space="preserve"> No grant was decoded. In the second DRX cycle, gNB </w:t>
      </w:r>
      <w:r w:rsidR="00BE6038">
        <w:rPr>
          <w:lang w:val="en-GB"/>
        </w:rPr>
        <w:t xml:space="preserve">activates </w:t>
      </w:r>
      <w:r>
        <w:rPr>
          <w:lang w:val="en-GB"/>
        </w:rPr>
        <w:t>SCell</w:t>
      </w:r>
      <w:r w:rsidR="00BE6038">
        <w:rPr>
          <w:lang w:val="en-GB"/>
        </w:rPr>
        <w:t>s</w:t>
      </w:r>
      <w:r>
        <w:rPr>
          <w:lang w:val="en-GB"/>
        </w:rPr>
        <w:t xml:space="preserve"> </w:t>
      </w:r>
      <w:r w:rsidR="00BE6038">
        <w:rPr>
          <w:lang w:val="en-GB"/>
        </w:rPr>
        <w:t>via group BWP DCI for BWP activation</w:t>
      </w:r>
      <w:r>
        <w:rPr>
          <w:lang w:val="en-GB"/>
        </w:rPr>
        <w:t xml:space="preserve">. SCell measurement and feedback </w:t>
      </w:r>
      <w:r w:rsidR="00BE6038">
        <w:rPr>
          <w:lang w:val="en-GB"/>
        </w:rPr>
        <w:t>can be</w:t>
      </w:r>
      <w:r>
        <w:rPr>
          <w:lang w:val="en-GB"/>
        </w:rPr>
        <w:t xml:space="preserve"> done. Afterwards, </w:t>
      </w:r>
      <w:r w:rsidR="00BE6038">
        <w:rPr>
          <w:lang w:val="en-GB"/>
        </w:rPr>
        <w:t>data transmission can be scheduled on the SCells</w:t>
      </w:r>
      <w:r>
        <w:rPr>
          <w:lang w:val="en-GB"/>
        </w:rPr>
        <w:t xml:space="preserve">. When the traffic burst has tapered off, SCells can be quickly deactivated either by </w:t>
      </w:r>
      <w:r w:rsidR="00BE6038">
        <w:rPr>
          <w:lang w:val="en-GB"/>
        </w:rPr>
        <w:t xml:space="preserve">group </w:t>
      </w:r>
      <w:r>
        <w:rPr>
          <w:lang w:val="en-GB"/>
        </w:rPr>
        <w:t xml:space="preserve">BWP DCI or timer expiration. In the </w:t>
      </w:r>
      <w:r w:rsidR="00166F5E">
        <w:rPr>
          <w:lang w:val="en-GB"/>
        </w:rPr>
        <w:t>3</w:t>
      </w:r>
      <w:r w:rsidR="00166F5E" w:rsidRPr="0053268B">
        <w:rPr>
          <w:vertAlign w:val="superscript"/>
          <w:lang w:val="en-GB"/>
        </w:rPr>
        <w:t>rd</w:t>
      </w:r>
      <w:r w:rsidR="00166F5E">
        <w:rPr>
          <w:lang w:val="en-GB"/>
        </w:rPr>
        <w:t xml:space="preserve"> </w:t>
      </w:r>
      <w:r>
        <w:rPr>
          <w:lang w:val="en-GB"/>
        </w:rPr>
        <w:t xml:space="preserve">and </w:t>
      </w:r>
      <w:r w:rsidR="00166F5E">
        <w:rPr>
          <w:lang w:val="en-GB"/>
        </w:rPr>
        <w:t>5</w:t>
      </w:r>
      <w:r w:rsidR="00166F5E" w:rsidRPr="0053268B">
        <w:rPr>
          <w:vertAlign w:val="superscript"/>
          <w:lang w:val="en-GB"/>
        </w:rPr>
        <w:t>th</w:t>
      </w:r>
      <w:r w:rsidR="00166F5E">
        <w:rPr>
          <w:lang w:val="en-GB"/>
        </w:rPr>
        <w:t xml:space="preserve"> </w:t>
      </w:r>
      <w:r>
        <w:rPr>
          <w:lang w:val="en-GB"/>
        </w:rPr>
        <w:t xml:space="preserve">DRX cycles, </w:t>
      </w:r>
      <w:r w:rsidR="00166F5E">
        <w:rPr>
          <w:lang w:val="en-GB"/>
        </w:rPr>
        <w:t>no grant was decoded and only PCell PDCCH is monitored. In the 4</w:t>
      </w:r>
      <w:r w:rsidR="00166F5E" w:rsidRPr="0053268B">
        <w:rPr>
          <w:vertAlign w:val="superscript"/>
          <w:lang w:val="en-GB"/>
        </w:rPr>
        <w:t>th</w:t>
      </w:r>
      <w:r w:rsidR="00166F5E">
        <w:rPr>
          <w:lang w:val="en-GB"/>
        </w:rPr>
        <w:t xml:space="preserve"> DRX cycle, traffic is scheduled and SCells are quickly activated and deactivated to handle the burst.</w:t>
      </w:r>
    </w:p>
    <w:p w14:paraId="6F4D116F" w14:textId="7640C73C" w:rsidR="00166F5E" w:rsidRDefault="00166F5E" w:rsidP="0053268B">
      <w:pPr>
        <w:rPr>
          <w:lang w:val="en-GB"/>
        </w:rPr>
      </w:pPr>
      <w:r>
        <w:rPr>
          <w:lang w:val="en-GB"/>
        </w:rPr>
        <w:t>It should be easily understood how this would be more power efficient than a scheme where SCells are activated/deactivated more slowly and less frequently. If SCells are not deactivated near the end of the 2</w:t>
      </w:r>
      <w:r w:rsidRPr="0053268B">
        <w:rPr>
          <w:vertAlign w:val="superscript"/>
          <w:lang w:val="en-GB"/>
        </w:rPr>
        <w:t>nd</w:t>
      </w:r>
      <w:r>
        <w:rPr>
          <w:lang w:val="en-GB"/>
        </w:rPr>
        <w:t xml:space="preserve"> DRX cycle, and </w:t>
      </w:r>
      <w:r w:rsidR="00884264">
        <w:rPr>
          <w:lang w:val="en-GB"/>
        </w:rPr>
        <w:t xml:space="preserve">are </w:t>
      </w:r>
      <w:r>
        <w:rPr>
          <w:lang w:val="en-GB"/>
        </w:rPr>
        <w:t>kept activated through the 4</w:t>
      </w:r>
      <w:r w:rsidRPr="0053268B">
        <w:rPr>
          <w:vertAlign w:val="superscript"/>
          <w:lang w:val="en-GB"/>
        </w:rPr>
        <w:t>th</w:t>
      </w:r>
      <w:r>
        <w:rPr>
          <w:lang w:val="en-GB"/>
        </w:rPr>
        <w:t xml:space="preserve"> DRX cycle, all SCells would </w:t>
      </w:r>
      <w:r w:rsidR="00884264">
        <w:rPr>
          <w:lang w:val="en-GB"/>
        </w:rPr>
        <w:t>to</w:t>
      </w:r>
      <w:r>
        <w:rPr>
          <w:lang w:val="en-GB"/>
        </w:rPr>
        <w:t xml:space="preserve"> </w:t>
      </w:r>
      <w:r w:rsidR="00884264">
        <w:rPr>
          <w:lang w:val="en-GB"/>
        </w:rPr>
        <w:t xml:space="preserve">monitor </w:t>
      </w:r>
      <w:r>
        <w:rPr>
          <w:lang w:val="en-GB"/>
        </w:rPr>
        <w:t>PDCCH in the 3</w:t>
      </w:r>
      <w:r w:rsidRPr="0053268B">
        <w:rPr>
          <w:vertAlign w:val="superscript"/>
          <w:lang w:val="en-GB"/>
        </w:rPr>
        <w:t>rd</w:t>
      </w:r>
      <w:r>
        <w:rPr>
          <w:lang w:val="en-GB"/>
        </w:rPr>
        <w:t xml:space="preserve"> DRX cycle, draining power unnecessarily.</w:t>
      </w:r>
    </w:p>
    <w:p w14:paraId="6588E4F0" w14:textId="77777777" w:rsidR="00C3160D" w:rsidRDefault="00C3160D" w:rsidP="00C3160D">
      <w:pPr>
        <w:pStyle w:val="Heading1"/>
      </w:pPr>
      <w:bookmarkStart w:id="47" w:name="_Ref494735667"/>
      <w:r>
        <w:t>Timeline for CA and BWP activation/deactivation</w:t>
      </w:r>
      <w:bookmarkEnd w:id="47"/>
    </w:p>
    <w:p w14:paraId="4FC3CB04" w14:textId="77777777" w:rsidR="00C3160D" w:rsidRDefault="00C3160D" w:rsidP="00C3160D">
      <w:pPr>
        <w:rPr>
          <w:lang w:val="en-GB"/>
        </w:rPr>
      </w:pPr>
      <w:r w:rsidRPr="00395DB2">
        <w:rPr>
          <w:lang w:val="en-GB"/>
        </w:rPr>
        <w:t xml:space="preserve">In LTE, </w:t>
      </w:r>
      <w:r>
        <w:rPr>
          <w:lang w:val="en-GB"/>
        </w:rPr>
        <w:t>CA activation/deactivation command is carried in MAC control element (CE) which is transferred over PDSCH. If the MAC-CE command is carried in subframe n, UE sends acknowledgement to the MAC-CE command in subframe n+4. UE starts to perform activation activity related to MAC in subframe n+8, and is ready to transmit valid CSI report no later than subframe n+24 in normal cases (i.e., for a detected/measured SCell) [1, Section 7.7]. In this case, the overall CA activation latency is up to 24ms.</w:t>
      </w:r>
    </w:p>
    <w:p w14:paraId="25502DA6" w14:textId="77777777" w:rsidR="00C3160D" w:rsidRDefault="00C3160D" w:rsidP="00C3160D">
      <w:pPr>
        <w:keepNext/>
        <w:jc w:val="center"/>
      </w:pPr>
      <w:r>
        <w:rPr>
          <w:noProof/>
          <w:lang w:eastAsia="ko-KR"/>
        </w:rPr>
        <w:drawing>
          <wp:inline distT="0" distB="0" distL="0" distR="0" wp14:anchorId="0E1AD32D" wp14:editId="36242A82">
            <wp:extent cx="5714164" cy="10387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1610" cy="1063744"/>
                    </a:xfrm>
                    <a:prstGeom prst="rect">
                      <a:avLst/>
                    </a:prstGeom>
                    <a:noFill/>
                  </pic:spPr>
                </pic:pic>
              </a:graphicData>
            </a:graphic>
          </wp:inline>
        </w:drawing>
      </w:r>
    </w:p>
    <w:p w14:paraId="0FF400F0" w14:textId="13EB6DA7" w:rsidR="00C3160D" w:rsidRDefault="00C3160D" w:rsidP="00C3160D">
      <w:pPr>
        <w:pStyle w:val="Caption"/>
        <w:jc w:val="center"/>
        <w:rPr>
          <w:lang w:val="en-GB"/>
        </w:rPr>
      </w:pPr>
      <w:r>
        <w:t xml:space="preserve">Figure </w:t>
      </w:r>
      <w:r w:rsidR="002D547D">
        <w:fldChar w:fldCharType="begin"/>
      </w:r>
      <w:r w:rsidR="002D547D">
        <w:instrText xml:space="preserve"> SEQ F</w:instrText>
      </w:r>
      <w:r w:rsidR="002D547D">
        <w:instrText xml:space="preserve">igure \* ARABIC </w:instrText>
      </w:r>
      <w:r w:rsidR="002D547D">
        <w:fldChar w:fldCharType="separate"/>
      </w:r>
      <w:r w:rsidR="00092D01">
        <w:rPr>
          <w:noProof/>
        </w:rPr>
        <w:t>2</w:t>
      </w:r>
      <w:r w:rsidR="002D547D">
        <w:rPr>
          <w:noProof/>
        </w:rPr>
        <w:fldChar w:fldCharType="end"/>
      </w:r>
      <w:r>
        <w:t>: CA activation timeline in LTE</w:t>
      </w:r>
    </w:p>
    <w:p w14:paraId="1ED4C38B" w14:textId="77777777" w:rsidR="00C3160D" w:rsidRPr="00395DB2" w:rsidRDefault="00C3160D" w:rsidP="00C3160D">
      <w:r>
        <w:rPr>
          <w:lang w:val="en-GB"/>
        </w:rPr>
        <w:t xml:space="preserve"> (The PCell interruption time is one subframe for inter-band CA and up to 5 subframes for intra-band CA [1, Section 7.8.2], and is parallel to the above timeline.</w:t>
      </w:r>
      <w:r>
        <w:t>)</w:t>
      </w:r>
    </w:p>
    <w:p w14:paraId="635E627E" w14:textId="37C5E2E7" w:rsidR="00C3160D" w:rsidRDefault="00C3160D" w:rsidP="00C3160D">
      <w:pPr>
        <w:rPr>
          <w:lang w:val="en-GB"/>
        </w:rPr>
      </w:pPr>
      <w:r>
        <w:rPr>
          <w:lang w:val="en-GB"/>
        </w:rPr>
        <w:t xml:space="preserve">In NR, if the CA/BWP activation command is MAC CE-based, the acknowledgement to CA/BWP activation is defined by K1 slots and N1 symbols in the current HARQ framework (Note that this is for the purpose of timeline analysis and we are proposing DCI-based CA/BWP activation/deactivation). The CA/BWP activation timeline can be much shorter than that of LTE due to the improved HARQ timeline. Furthermore, current NR tracking RS (TRS) framework allows much faster adaptation relative to LTE loop convergence bases on CRS </w:t>
      </w:r>
      <w:r w:rsidR="009E3E19">
        <w:rPr>
          <w:lang w:val="en-GB"/>
        </w:rPr>
        <w:fldChar w:fldCharType="begin"/>
      </w:r>
      <w:r w:rsidR="009E3E19">
        <w:rPr>
          <w:lang w:val="en-GB"/>
        </w:rPr>
        <w:instrText xml:space="preserve"> REF _Ref494735489 \r \h </w:instrText>
      </w:r>
      <w:r w:rsidR="009E3E19">
        <w:rPr>
          <w:lang w:val="en-GB"/>
        </w:rPr>
      </w:r>
      <w:r w:rsidR="009E3E19">
        <w:rPr>
          <w:lang w:val="en-GB"/>
        </w:rPr>
        <w:fldChar w:fldCharType="separate"/>
      </w:r>
      <w:r w:rsidR="00092D01">
        <w:rPr>
          <w:lang w:val="en-GB"/>
        </w:rPr>
        <w:t>[2]</w:t>
      </w:r>
      <w:r w:rsidR="009E3E19">
        <w:rPr>
          <w:lang w:val="en-GB"/>
        </w:rPr>
        <w:fldChar w:fldCharType="end"/>
      </w:r>
      <w:r>
        <w:rPr>
          <w:lang w:val="en-GB"/>
        </w:rPr>
        <w:t>. As a result, the UE should be able to be ready to report valid CSI much earlier than the n+24 timeline in LTE as long as TRS is provided with respect to the activation timeline. NR CA/BWP activation timeline based on MAC-CE command is shown in</w:t>
      </w:r>
      <w:r w:rsidR="009E3E19">
        <w:rPr>
          <w:lang w:val="en-GB"/>
        </w:rPr>
        <w:t xml:space="preserve"> </w:t>
      </w:r>
      <w:r w:rsidR="009E3E19">
        <w:rPr>
          <w:lang w:val="en-GB"/>
        </w:rPr>
        <w:fldChar w:fldCharType="begin"/>
      </w:r>
      <w:r w:rsidR="009E3E19">
        <w:rPr>
          <w:lang w:val="en-GB"/>
        </w:rPr>
        <w:instrText xml:space="preserve"> REF _Ref494735537 \h </w:instrText>
      </w:r>
      <w:r w:rsidR="009E3E19">
        <w:rPr>
          <w:lang w:val="en-GB"/>
        </w:rPr>
      </w:r>
      <w:r w:rsidR="009E3E19">
        <w:rPr>
          <w:lang w:val="en-GB"/>
        </w:rPr>
        <w:fldChar w:fldCharType="separate"/>
      </w:r>
      <w:r w:rsidR="00092D01">
        <w:t xml:space="preserve">Figure </w:t>
      </w:r>
      <w:r w:rsidR="00092D01">
        <w:rPr>
          <w:noProof/>
        </w:rPr>
        <w:t>3</w:t>
      </w:r>
      <w:r w:rsidR="009E3E19">
        <w:rPr>
          <w:lang w:val="en-GB"/>
        </w:rPr>
        <w:fldChar w:fldCharType="end"/>
      </w:r>
      <w:r>
        <w:rPr>
          <w:lang w:val="en-GB"/>
        </w:rPr>
        <w:t xml:space="preserve">. It should be noted that </w:t>
      </w:r>
      <w:r>
        <w:rPr>
          <w:lang w:val="en-GB"/>
        </w:rPr>
        <w:fldChar w:fldCharType="begin"/>
      </w:r>
      <w:r>
        <w:rPr>
          <w:lang w:val="en-GB"/>
        </w:rPr>
        <w:instrText xml:space="preserve"> REF _Ref494671231 \h </w:instrText>
      </w:r>
      <w:r>
        <w:rPr>
          <w:lang w:val="en-GB"/>
        </w:rPr>
      </w:r>
      <w:r>
        <w:rPr>
          <w:lang w:val="en-GB"/>
        </w:rPr>
        <w:fldChar w:fldCharType="separate"/>
      </w:r>
      <w:r w:rsidR="00092D01">
        <w:rPr>
          <w:b/>
          <w:bCs/>
        </w:rPr>
        <w:t>Error! Reference source not found.</w:t>
      </w:r>
      <w:r>
        <w:rPr>
          <w:lang w:val="en-GB"/>
        </w:rPr>
        <w:fldChar w:fldCharType="end"/>
      </w:r>
      <w:r>
        <w:rPr>
          <w:lang w:val="en-GB"/>
        </w:rPr>
        <w:t xml:space="preserve"> is the timeline at the UE.</w:t>
      </w:r>
    </w:p>
    <w:p w14:paraId="36F5620D" w14:textId="77777777" w:rsidR="00C3160D" w:rsidRDefault="00C3160D" w:rsidP="00C3160D">
      <w:pPr>
        <w:pStyle w:val="Caption"/>
      </w:pPr>
      <w:r>
        <w:object w:dxaOrig="16505" w:dyaOrig="4394" w14:anchorId="207C2F51">
          <v:shape id="_x0000_i1026" type="#_x0000_t75" style="width:465.25pt;height:123.5pt" o:ole="" o:allowoverlap="f">
            <v:imagedata r:id="rId14" o:title=""/>
          </v:shape>
          <o:OLEObject Type="Embed" ProgID="Visio.Drawing.11" ShapeID="_x0000_i1026" DrawAspect="Content" ObjectID="_1568488778" r:id="rId15"/>
        </w:object>
      </w:r>
    </w:p>
    <w:p w14:paraId="7EBF643C" w14:textId="731F8DD0" w:rsidR="00C3160D" w:rsidRDefault="00C3160D" w:rsidP="00C3160D">
      <w:pPr>
        <w:pStyle w:val="Caption"/>
        <w:jc w:val="center"/>
        <w:rPr>
          <w:lang w:val="en-GB"/>
        </w:rPr>
      </w:pPr>
      <w:bookmarkStart w:id="48" w:name="_Ref494735537"/>
      <w:r>
        <w:t xml:space="preserve">Figure </w:t>
      </w:r>
      <w:r w:rsidR="002D547D">
        <w:fldChar w:fldCharType="begin"/>
      </w:r>
      <w:r w:rsidR="002D547D">
        <w:instrText xml:space="preserve"> SEQ Figure \* ARABIC </w:instrText>
      </w:r>
      <w:r w:rsidR="002D547D">
        <w:fldChar w:fldCharType="separate"/>
      </w:r>
      <w:r w:rsidR="00092D01">
        <w:rPr>
          <w:noProof/>
        </w:rPr>
        <w:t>3</w:t>
      </w:r>
      <w:r w:rsidR="002D547D">
        <w:rPr>
          <w:noProof/>
        </w:rPr>
        <w:fldChar w:fldCharType="end"/>
      </w:r>
      <w:bookmarkEnd w:id="48"/>
      <w:r>
        <w:t>: Shortened CA/BWP activation timeline based on MAC-CE command with fast tracking RS adaptation</w:t>
      </w:r>
    </w:p>
    <w:p w14:paraId="0F7557FF" w14:textId="06FCF4A5" w:rsidR="00C3160D" w:rsidRDefault="00C3160D" w:rsidP="00C3160D">
      <w:pPr>
        <w:rPr>
          <w:lang w:val="en-GB"/>
        </w:rPr>
      </w:pPr>
      <w:r>
        <w:rPr>
          <w:lang w:val="en-GB"/>
        </w:rPr>
        <w:t>We can further improve the CA/BWP activation timeline for DCI-based activation given there is no corresponding PDSCH decoding and additional latency in MAC. Depending on the UE capability, acknowledgement to CA/BWP activation DCI could be transmitted even within the same slot as the activation DCI. This is illustrated in</w:t>
      </w:r>
      <w:r w:rsidR="009E3E19">
        <w:rPr>
          <w:lang w:val="en-GB"/>
        </w:rPr>
        <w:t xml:space="preserve"> </w:t>
      </w:r>
      <w:r w:rsidR="009E3E19">
        <w:rPr>
          <w:lang w:val="en-GB"/>
        </w:rPr>
        <w:fldChar w:fldCharType="begin"/>
      </w:r>
      <w:r w:rsidR="009E3E19">
        <w:rPr>
          <w:lang w:val="en-GB"/>
        </w:rPr>
        <w:instrText xml:space="preserve"> REF _Ref494735570 \h </w:instrText>
      </w:r>
      <w:r w:rsidR="009E3E19">
        <w:rPr>
          <w:lang w:val="en-GB"/>
        </w:rPr>
      </w:r>
      <w:r w:rsidR="009E3E19">
        <w:rPr>
          <w:lang w:val="en-GB"/>
        </w:rPr>
        <w:fldChar w:fldCharType="separate"/>
      </w:r>
      <w:r w:rsidR="00092D01">
        <w:t xml:space="preserve">Figure </w:t>
      </w:r>
      <w:r w:rsidR="00092D01">
        <w:rPr>
          <w:noProof/>
        </w:rPr>
        <w:t>4</w:t>
      </w:r>
      <w:r w:rsidR="009E3E19">
        <w:rPr>
          <w:lang w:val="en-GB"/>
        </w:rPr>
        <w:fldChar w:fldCharType="end"/>
      </w:r>
      <w:r>
        <w:rPr>
          <w:lang w:val="en-GB"/>
        </w:rPr>
        <w:t>.</w:t>
      </w:r>
    </w:p>
    <w:p w14:paraId="23BD9167" w14:textId="77777777" w:rsidR="00C3160D" w:rsidRDefault="00C3160D" w:rsidP="00C3160D">
      <w:pPr>
        <w:jc w:val="center"/>
        <w:rPr>
          <w:lang w:val="en-GB"/>
        </w:rPr>
      </w:pPr>
      <w:r>
        <w:object w:dxaOrig="15288" w:dyaOrig="4777" w14:anchorId="572FF2F7">
          <v:shape id="_x0000_i1027" type="#_x0000_t75" style="width:427.9pt;height:133.95pt" o:ole="">
            <v:imagedata r:id="rId16" o:title=""/>
          </v:shape>
          <o:OLEObject Type="Embed" ProgID="Visio.Drawing.11" ShapeID="_x0000_i1027" DrawAspect="Content" ObjectID="_1568488779" r:id="rId17"/>
        </w:object>
      </w:r>
    </w:p>
    <w:p w14:paraId="3A7FE600" w14:textId="320CE8B3" w:rsidR="00C3160D" w:rsidRDefault="00C3160D" w:rsidP="00C3160D">
      <w:pPr>
        <w:pStyle w:val="Caption"/>
        <w:jc w:val="center"/>
        <w:rPr>
          <w:lang w:val="en-GB"/>
        </w:rPr>
      </w:pPr>
      <w:bookmarkStart w:id="49" w:name="_Ref494735570"/>
      <w:r>
        <w:t xml:space="preserve">Figure </w:t>
      </w:r>
      <w:r w:rsidR="002D547D">
        <w:fldChar w:fldCharType="begin"/>
      </w:r>
      <w:r w:rsidR="002D547D">
        <w:instrText xml:space="preserve"> SEQ Figure \* ARABIC </w:instrText>
      </w:r>
      <w:r w:rsidR="002D547D">
        <w:fldChar w:fldCharType="separate"/>
      </w:r>
      <w:r w:rsidR="00092D01">
        <w:rPr>
          <w:noProof/>
        </w:rPr>
        <w:t>4</w:t>
      </w:r>
      <w:r w:rsidR="002D547D">
        <w:rPr>
          <w:noProof/>
        </w:rPr>
        <w:fldChar w:fldCharType="end"/>
      </w:r>
      <w:bookmarkEnd w:id="49"/>
      <w:r>
        <w:t>: Shortened CA/BWP activation timeline based on DCI-based command with fast tracking RS adaptation</w:t>
      </w:r>
    </w:p>
    <w:p w14:paraId="57A74FB6" w14:textId="63D661BC" w:rsidR="00C3160D" w:rsidRDefault="00C3160D" w:rsidP="00C3160D">
      <w:pPr>
        <w:pStyle w:val="Caption"/>
        <w:rPr>
          <w:lang w:val="en-GB"/>
        </w:rPr>
      </w:pPr>
      <w:bookmarkStart w:id="50" w:name="_Toc494704851"/>
      <w:bookmarkStart w:id="51" w:name="_Toc494713149"/>
      <w:bookmarkStart w:id="52" w:name="_Toc494713323"/>
      <w:bookmarkStart w:id="53" w:name="_Toc494713411"/>
      <w:bookmarkStart w:id="54" w:name="_Toc494734979"/>
      <w:bookmarkStart w:id="55" w:name="_Toc494735045"/>
      <w:bookmarkStart w:id="56" w:name="_Toc494735617"/>
      <w:bookmarkStart w:id="57" w:name="_Toc494746301"/>
      <w:r>
        <w:t xml:space="preserve">Observation </w:t>
      </w:r>
      <w:r w:rsidR="002D547D">
        <w:fldChar w:fldCharType="begin"/>
      </w:r>
      <w:r w:rsidR="002D547D">
        <w:instrText xml:space="preserve"> SEQ Observation \* ARABIC </w:instrText>
      </w:r>
      <w:r w:rsidR="002D547D">
        <w:fldChar w:fldCharType="separate"/>
      </w:r>
      <w:r w:rsidR="00092D01">
        <w:rPr>
          <w:noProof/>
        </w:rPr>
        <w:t>1</w:t>
      </w:r>
      <w:r w:rsidR="002D547D">
        <w:rPr>
          <w:noProof/>
        </w:rPr>
        <w:fldChar w:fldCharType="end"/>
      </w:r>
      <w:r>
        <w:t xml:space="preserve">: </w:t>
      </w:r>
      <w:r>
        <w:rPr>
          <w:lang w:val="en-GB"/>
        </w:rPr>
        <w:t>DCI-based CA/BWP activation/deactivation command provides shorter latency than the MAC CE-based activation/deactivation.</w:t>
      </w:r>
      <w:bookmarkEnd w:id="50"/>
      <w:bookmarkEnd w:id="51"/>
      <w:bookmarkEnd w:id="52"/>
      <w:bookmarkEnd w:id="53"/>
      <w:bookmarkEnd w:id="54"/>
      <w:bookmarkEnd w:id="55"/>
      <w:bookmarkEnd w:id="56"/>
      <w:bookmarkEnd w:id="57"/>
    </w:p>
    <w:p w14:paraId="48A9DE6C" w14:textId="31420D26" w:rsidR="00C3160D" w:rsidRPr="00587607" w:rsidRDefault="00C3160D" w:rsidP="00C3160D">
      <w:pPr>
        <w:pStyle w:val="Caption"/>
        <w:rPr>
          <w:b w:val="0"/>
          <w:lang w:val="en-GB"/>
        </w:rPr>
      </w:pPr>
      <w:bookmarkStart w:id="58" w:name="_Toc494704861"/>
      <w:bookmarkStart w:id="59" w:name="_Toc494713155"/>
      <w:bookmarkStart w:id="60" w:name="_Toc494713329"/>
      <w:bookmarkStart w:id="61" w:name="_Toc494713417"/>
      <w:bookmarkStart w:id="62" w:name="_Toc494734984"/>
      <w:bookmarkStart w:id="63" w:name="_Toc494735050"/>
      <w:bookmarkStart w:id="64" w:name="_Toc494735627"/>
      <w:bookmarkStart w:id="65" w:name="_Toc494745991"/>
      <w:bookmarkStart w:id="66" w:name="_Toc494746308"/>
      <w:r>
        <w:t xml:space="preserve">Proposal </w:t>
      </w:r>
      <w:r w:rsidR="002D547D">
        <w:fldChar w:fldCharType="begin"/>
      </w:r>
      <w:r w:rsidR="002D547D">
        <w:instrText xml:space="preserve"> SEQ Proposal \* ARABIC </w:instrText>
      </w:r>
      <w:r w:rsidR="002D547D">
        <w:fldChar w:fldCharType="separate"/>
      </w:r>
      <w:r w:rsidR="00092D01">
        <w:rPr>
          <w:noProof/>
        </w:rPr>
        <w:t>5</w:t>
      </w:r>
      <w:r w:rsidR="002D547D">
        <w:rPr>
          <w:noProof/>
        </w:rPr>
        <w:fldChar w:fldCharType="end"/>
      </w:r>
      <w:r>
        <w:t xml:space="preserve">: </w:t>
      </w:r>
      <w:r>
        <w:rPr>
          <w:lang w:val="en-GB"/>
        </w:rPr>
        <w:t>Improved CA/BWP activation/deactivation timeline should be considered for NR compared to LTE.</w:t>
      </w:r>
      <w:bookmarkEnd w:id="58"/>
      <w:bookmarkEnd w:id="59"/>
      <w:bookmarkEnd w:id="60"/>
      <w:bookmarkEnd w:id="61"/>
      <w:bookmarkEnd w:id="62"/>
      <w:bookmarkEnd w:id="63"/>
      <w:bookmarkEnd w:id="64"/>
      <w:bookmarkEnd w:id="65"/>
      <w:bookmarkEnd w:id="66"/>
    </w:p>
    <w:p w14:paraId="37C69EE4" w14:textId="77777777" w:rsidR="00C3160D" w:rsidRPr="00587607" w:rsidRDefault="00C3160D" w:rsidP="00C3160D">
      <w:pPr>
        <w:pStyle w:val="ListParagraph"/>
        <w:numPr>
          <w:ilvl w:val="0"/>
          <w:numId w:val="34"/>
        </w:numPr>
        <w:rPr>
          <w:b/>
        </w:rPr>
      </w:pPr>
      <w:r w:rsidRPr="00587607">
        <w:rPr>
          <w:b/>
        </w:rPr>
        <w:t>ACK timing and action time for CA/BWP activation/deactivation should be further studied in RAN1.</w:t>
      </w:r>
    </w:p>
    <w:p w14:paraId="59CA5982" w14:textId="7E6E9994" w:rsidR="00C3160D" w:rsidRDefault="00C3160D" w:rsidP="00C3160D">
      <w:pPr>
        <w:pStyle w:val="ListParagraph"/>
        <w:numPr>
          <w:ilvl w:val="0"/>
          <w:numId w:val="34"/>
        </w:numPr>
        <w:rPr>
          <w:b/>
        </w:rPr>
      </w:pPr>
      <w:r w:rsidRPr="00587607">
        <w:rPr>
          <w:b/>
        </w:rPr>
        <w:t>Improved overall CA/BWP activation timeline that UE is ready to report valid CSI report should be further studied in RAN4.</w:t>
      </w:r>
    </w:p>
    <w:p w14:paraId="2D4BF34F" w14:textId="77777777" w:rsidR="005A54DF" w:rsidRDefault="005A54DF" w:rsidP="005A54DF">
      <w:pPr>
        <w:pStyle w:val="Heading1"/>
        <w:textAlignment w:val="auto"/>
      </w:pPr>
      <w:r>
        <w:t>CA with mixed numerology</w:t>
      </w:r>
    </w:p>
    <w:p w14:paraId="55C1DC90" w14:textId="77777777" w:rsidR="005A54DF" w:rsidRPr="00C85752" w:rsidRDefault="005A54DF" w:rsidP="005A54DF">
      <w:r>
        <w:rPr>
          <w:lang w:val="en-GB"/>
        </w:rPr>
        <w:t>In our view, this should be in general deprioritized but we keep it for the sake of discussion in case mixed numerology still needs to be discussed for SUL.</w:t>
      </w:r>
    </w:p>
    <w:p w14:paraId="0937695E" w14:textId="77777777" w:rsidR="005A54DF" w:rsidRDefault="005A54DF" w:rsidP="005A54DF">
      <w:pPr>
        <w:pStyle w:val="Heading2"/>
      </w:pPr>
      <w:r>
        <w:t>Scheduling</w:t>
      </w:r>
    </w:p>
    <w:p w14:paraId="2DD1E197" w14:textId="77777777" w:rsidR="005A54DF" w:rsidRDefault="005A54DF" w:rsidP="005A54DF">
      <w:pPr>
        <w:rPr>
          <w:lang w:val="en-GB"/>
        </w:rPr>
      </w:pPr>
      <w:r>
        <w:rPr>
          <w:lang w:val="en-GB"/>
        </w:rPr>
        <w:t>Cross carrier scheduling with mixed numerology was already agreed for NR. Figure 1 shows two cases for cross carrier DL scheduling with mixed numerology. One case is a larger SCS scheduling a smaller SCS and the other case is opposite. Current HARQ framework with slot (K0) and symbol granularity (N0) for DL data scheduling, further clarification/agreement is necessary to clearly define the distance between the end of PDCCH and the start of data scheduling. For case 1, there can be ambiguities on:</w:t>
      </w:r>
    </w:p>
    <w:p w14:paraId="67C8184C" w14:textId="77777777" w:rsidR="005A54DF" w:rsidRDefault="005A54DF" w:rsidP="005A54DF">
      <w:pPr>
        <w:pStyle w:val="ListParagraph"/>
        <w:numPr>
          <w:ilvl w:val="0"/>
          <w:numId w:val="29"/>
        </w:numPr>
      </w:pPr>
      <w:r>
        <w:t>Do we first allow PDCCH on slot 2n+1 allows scheduling in slot m?</w:t>
      </w:r>
    </w:p>
    <w:p w14:paraId="02590F87" w14:textId="77777777" w:rsidR="005A54DF" w:rsidRDefault="005A54DF" w:rsidP="005A54DF">
      <w:pPr>
        <w:pStyle w:val="ListParagraph"/>
        <w:numPr>
          <w:ilvl w:val="1"/>
          <w:numId w:val="29"/>
        </w:numPr>
      </w:pPr>
      <w:r>
        <w:t>To restrict UE complexity, it is proposed that cross carrier scheduling is allowed toward equal or later slot only (defined by the beginning of the slot). In other words, slot 2n+1 cannot schedule the data in slot m. Otherwise, we will introduce additional complexity compared to the same numerology scheduling (i.e., similar to allowing PDCCH anywhere in slot for slot-based scheduling).</w:t>
      </w:r>
    </w:p>
    <w:p w14:paraId="2DB56172" w14:textId="77777777" w:rsidR="005A54DF" w:rsidRDefault="005A54DF" w:rsidP="005A54DF">
      <w:pPr>
        <w:pStyle w:val="ListParagraph"/>
        <w:numPr>
          <w:ilvl w:val="0"/>
          <w:numId w:val="29"/>
        </w:numPr>
      </w:pPr>
      <w:r w:rsidRPr="00460DF0">
        <w:t>How to define K0 from slot 2n and 2n+1 respectively</w:t>
      </w:r>
    </w:p>
    <w:p w14:paraId="22681D1F" w14:textId="77777777" w:rsidR="005A54DF" w:rsidRDefault="005A54DF" w:rsidP="005A54DF">
      <w:pPr>
        <w:pStyle w:val="ListParagraph"/>
        <w:numPr>
          <w:ilvl w:val="1"/>
          <w:numId w:val="29"/>
        </w:numPr>
      </w:pPr>
      <w:r>
        <w:t>It was agreed that the distance between the end of PDCCH and the start of PDSCH is based on the numerology of data transmission. Slot m is considered as K0=0 for both slot 2n and slot 2n+1. Therefore, when a larger SCS schedules a smaller SCS, it is proposed that the overlapping slot is considered as K0=0.</w:t>
      </w:r>
    </w:p>
    <w:p w14:paraId="0F31FC6A" w14:textId="1265E2E5" w:rsidR="005A54DF" w:rsidRPr="0053268B" w:rsidRDefault="005A54DF" w:rsidP="0053268B">
      <w:pPr>
        <w:pStyle w:val="Caption"/>
      </w:pPr>
      <w:bookmarkStart w:id="67" w:name="_Toc494713330"/>
      <w:bookmarkStart w:id="68" w:name="_Toc494713418"/>
      <w:bookmarkStart w:id="69" w:name="_Toc494734985"/>
      <w:bookmarkStart w:id="70" w:name="_Toc494735051"/>
      <w:bookmarkStart w:id="71" w:name="_Toc494735628"/>
      <w:bookmarkStart w:id="72" w:name="_Toc494745992"/>
      <w:bookmarkStart w:id="73" w:name="_Toc494746309"/>
      <w:r w:rsidRPr="0053268B">
        <w:t xml:space="preserve">Proposal </w:t>
      </w:r>
      <w:r w:rsidR="002D547D">
        <w:fldChar w:fldCharType="begin"/>
      </w:r>
      <w:r w:rsidR="002D547D">
        <w:instrText xml:space="preserve"> SEQ Proposal \* ARABIC </w:instrText>
      </w:r>
      <w:r w:rsidR="002D547D">
        <w:fldChar w:fldCharType="separate"/>
      </w:r>
      <w:r w:rsidR="00092D01">
        <w:rPr>
          <w:noProof/>
        </w:rPr>
        <w:t>6</w:t>
      </w:r>
      <w:r w:rsidR="002D547D">
        <w:rPr>
          <w:noProof/>
        </w:rPr>
        <w:fldChar w:fldCharType="end"/>
      </w:r>
      <w:r w:rsidRPr="0053268B">
        <w:t>: Cross carrier slot-based scheduling is allowed toward equal or later slot only (defined by the beginning of the slot).</w:t>
      </w:r>
      <w:bookmarkEnd w:id="67"/>
      <w:bookmarkEnd w:id="68"/>
      <w:bookmarkEnd w:id="69"/>
      <w:bookmarkEnd w:id="70"/>
      <w:bookmarkEnd w:id="71"/>
      <w:bookmarkEnd w:id="72"/>
      <w:bookmarkEnd w:id="73"/>
    </w:p>
    <w:p w14:paraId="0BAD334C" w14:textId="08E91032" w:rsidR="005A54DF" w:rsidRPr="0053268B" w:rsidRDefault="005A54DF" w:rsidP="0053268B">
      <w:pPr>
        <w:pStyle w:val="Caption"/>
      </w:pPr>
      <w:bookmarkStart w:id="74" w:name="_Toc494713331"/>
      <w:bookmarkStart w:id="75" w:name="_Toc494713419"/>
      <w:bookmarkStart w:id="76" w:name="_Toc494734986"/>
      <w:bookmarkStart w:id="77" w:name="_Toc494735052"/>
      <w:bookmarkStart w:id="78" w:name="_Toc494735629"/>
      <w:bookmarkStart w:id="79" w:name="_Toc494745993"/>
      <w:bookmarkStart w:id="80" w:name="_Toc494746310"/>
      <w:r w:rsidRPr="0053268B">
        <w:t xml:space="preserve">Proposal </w:t>
      </w:r>
      <w:r w:rsidR="002D547D">
        <w:fldChar w:fldCharType="begin"/>
      </w:r>
      <w:r w:rsidR="002D547D">
        <w:instrText xml:space="preserve"> SEQ Proposal \* ARABIC </w:instrText>
      </w:r>
      <w:r w:rsidR="002D547D">
        <w:fldChar w:fldCharType="separate"/>
      </w:r>
      <w:r w:rsidR="00092D01">
        <w:rPr>
          <w:noProof/>
        </w:rPr>
        <w:t>7</w:t>
      </w:r>
      <w:r w:rsidR="002D547D">
        <w:rPr>
          <w:noProof/>
        </w:rPr>
        <w:fldChar w:fldCharType="end"/>
      </w:r>
      <w:r w:rsidRPr="0053268B">
        <w:t>: When a larger SCS schedules a smaller SCS for DL data, the overlapping slot is considered as K0=0.</w:t>
      </w:r>
      <w:bookmarkEnd w:id="74"/>
      <w:bookmarkEnd w:id="75"/>
      <w:bookmarkEnd w:id="76"/>
      <w:bookmarkEnd w:id="77"/>
      <w:bookmarkEnd w:id="78"/>
      <w:bookmarkEnd w:id="79"/>
      <w:bookmarkEnd w:id="80"/>
    </w:p>
    <w:p w14:paraId="0E959459" w14:textId="77777777" w:rsidR="005A54DF" w:rsidRDefault="005A54DF" w:rsidP="005A54DF">
      <w:pPr>
        <w:rPr>
          <w:lang w:val="en-GB"/>
        </w:rPr>
      </w:pPr>
      <w:r>
        <w:rPr>
          <w:lang w:val="en-GB"/>
        </w:rPr>
        <w:t>For case 2, K0 definition also needs clarification. For example, should we call slot 2n+1 as K0=0 or 1? If we try to be based on the numerology of the data transmission, K0=1 may be more adequate. Otherwise, we need to introduce N0 larger than 14. When a smaller SCS schedules a larger SCS, it is proposed that K0=0 is defined for the slot whose beginning slot boundary is aligned with the beginning slot boundary with PDCCH.</w:t>
      </w:r>
    </w:p>
    <w:p w14:paraId="1B68D47B" w14:textId="5745A2FB" w:rsidR="005A54DF" w:rsidRPr="0053268B" w:rsidRDefault="005A54DF" w:rsidP="0053268B">
      <w:pPr>
        <w:pStyle w:val="Caption"/>
      </w:pPr>
      <w:bookmarkStart w:id="81" w:name="_Toc494713332"/>
      <w:bookmarkStart w:id="82" w:name="_Toc494713420"/>
      <w:bookmarkStart w:id="83" w:name="_Toc494734987"/>
      <w:bookmarkStart w:id="84" w:name="_Toc494735053"/>
      <w:bookmarkStart w:id="85" w:name="_Toc494735630"/>
      <w:bookmarkStart w:id="86" w:name="_Toc494745994"/>
      <w:bookmarkStart w:id="87" w:name="_Toc494746311"/>
      <w:r w:rsidRPr="0053268B">
        <w:t xml:space="preserve">Proposal </w:t>
      </w:r>
      <w:r w:rsidR="002D547D">
        <w:fldChar w:fldCharType="begin"/>
      </w:r>
      <w:r w:rsidR="002D547D">
        <w:instrText xml:space="preserve"> SEQ Proposal \* ARABIC </w:instrText>
      </w:r>
      <w:r w:rsidR="002D547D">
        <w:fldChar w:fldCharType="separate"/>
      </w:r>
      <w:r w:rsidR="00092D01">
        <w:rPr>
          <w:noProof/>
        </w:rPr>
        <w:t>8</w:t>
      </w:r>
      <w:r w:rsidR="002D547D">
        <w:rPr>
          <w:noProof/>
        </w:rPr>
        <w:fldChar w:fldCharType="end"/>
      </w:r>
      <w:r w:rsidRPr="0053268B">
        <w:t>: When a smaller SCS schedules a larger SCS for DL data, K0=0 is defined for the slot whose beginning slot boundary is aligned with that of the slot containing PDCCH with DL grant.</w:t>
      </w:r>
      <w:bookmarkEnd w:id="81"/>
      <w:bookmarkEnd w:id="82"/>
      <w:bookmarkEnd w:id="83"/>
      <w:bookmarkEnd w:id="84"/>
      <w:bookmarkEnd w:id="85"/>
      <w:bookmarkEnd w:id="86"/>
      <w:bookmarkEnd w:id="87"/>
    </w:p>
    <w:p w14:paraId="1FAC245D" w14:textId="77777777" w:rsidR="005A54DF" w:rsidRDefault="005A54DF" w:rsidP="005A54DF">
      <w:pPr>
        <w:rPr>
          <w:lang w:val="en-GB"/>
        </w:rPr>
      </w:pPr>
      <w:r>
        <w:rPr>
          <w:lang w:val="en-GB"/>
        </w:rPr>
        <w:t>Another issue with cross carrier scheduling is whether to have a joint grant or separate grant. For case 1, cross carrier scheduling is not different from the cross carrier scheduling with same numerology in terms of necessary grants. For case 2, given multiple slots overlapping with the slot with PDCCH, there can be a separate DCI per grant or a joint DCI for multiple grants. For scalable design, a separate DCI per grant is beneficial. On the other hand, a joint grant will be more spectrally efficient in terms of resource utilization. Some restrictions may be necessary in order not to increase the DCI proportional to the number of grants.</w:t>
      </w:r>
    </w:p>
    <w:p w14:paraId="29FBC7AC" w14:textId="58B1A200" w:rsidR="005A54DF" w:rsidRPr="0053268B" w:rsidRDefault="005A54DF" w:rsidP="0053268B">
      <w:pPr>
        <w:pStyle w:val="Caption"/>
      </w:pPr>
      <w:bookmarkStart w:id="88" w:name="_Toc494713333"/>
      <w:bookmarkStart w:id="89" w:name="_Toc494713421"/>
      <w:bookmarkStart w:id="90" w:name="_Toc494734988"/>
      <w:bookmarkStart w:id="91" w:name="_Toc494735054"/>
      <w:bookmarkStart w:id="92" w:name="_Toc494735631"/>
      <w:bookmarkStart w:id="93" w:name="_Toc494745995"/>
      <w:bookmarkStart w:id="94" w:name="_Toc494746312"/>
      <w:r w:rsidRPr="0053268B">
        <w:t xml:space="preserve">Proposal </w:t>
      </w:r>
      <w:r w:rsidR="002D547D">
        <w:fldChar w:fldCharType="begin"/>
      </w:r>
      <w:r w:rsidR="002D547D">
        <w:instrText xml:space="preserve"> SEQ Proposal \* ARABIC </w:instrText>
      </w:r>
      <w:r w:rsidR="002D547D">
        <w:fldChar w:fldCharType="separate"/>
      </w:r>
      <w:r w:rsidR="00092D01">
        <w:rPr>
          <w:noProof/>
        </w:rPr>
        <w:t>9</w:t>
      </w:r>
      <w:r w:rsidR="002D547D">
        <w:rPr>
          <w:noProof/>
        </w:rPr>
        <w:fldChar w:fldCharType="end"/>
      </w:r>
      <w:r w:rsidRPr="0053268B">
        <w:t>: A separate DCI per grant is supported for cross carrier scheduling with mixed numerology. A joint grant is also supported for NR.</w:t>
      </w:r>
      <w:bookmarkEnd w:id="88"/>
      <w:bookmarkEnd w:id="89"/>
      <w:bookmarkEnd w:id="90"/>
      <w:bookmarkEnd w:id="91"/>
      <w:bookmarkEnd w:id="92"/>
      <w:bookmarkEnd w:id="93"/>
      <w:bookmarkEnd w:id="94"/>
    </w:p>
    <w:p w14:paraId="3B27DAB1" w14:textId="77777777" w:rsidR="005A54DF" w:rsidRDefault="005A54DF" w:rsidP="005A54DF">
      <w:pPr>
        <w:rPr>
          <w:lang w:val="en-GB"/>
        </w:rPr>
      </w:pPr>
      <w:r>
        <w:rPr>
          <w:lang w:val="en-GB"/>
        </w:rPr>
        <w:t>Although Figure 1 shows DL scheduling, same case exists for UL data scheduling. Proposal 1 through 3 can be applicable for both DL and UL scheduling. Therefore, the following additional proposals can be made.</w:t>
      </w:r>
    </w:p>
    <w:p w14:paraId="02FD7D8A" w14:textId="7ACBF43E" w:rsidR="005A54DF" w:rsidRPr="0053268B" w:rsidRDefault="005A54DF" w:rsidP="0053268B">
      <w:pPr>
        <w:pStyle w:val="Caption"/>
      </w:pPr>
      <w:bookmarkStart w:id="95" w:name="_Toc494713334"/>
      <w:bookmarkStart w:id="96" w:name="_Toc494713422"/>
      <w:bookmarkStart w:id="97" w:name="_Toc494734989"/>
      <w:bookmarkStart w:id="98" w:name="_Toc494735055"/>
      <w:bookmarkStart w:id="99" w:name="_Toc494735632"/>
      <w:bookmarkStart w:id="100" w:name="_Toc494745996"/>
      <w:bookmarkStart w:id="101" w:name="_Toc494746313"/>
      <w:r w:rsidRPr="0053268B">
        <w:t xml:space="preserve">Proposal </w:t>
      </w:r>
      <w:r w:rsidR="002D547D">
        <w:fldChar w:fldCharType="begin"/>
      </w:r>
      <w:r w:rsidR="002D547D">
        <w:instrText xml:space="preserve"> SEQ Proposal \* ARABIC </w:instrText>
      </w:r>
      <w:r w:rsidR="002D547D">
        <w:fldChar w:fldCharType="separate"/>
      </w:r>
      <w:r w:rsidR="00092D01">
        <w:rPr>
          <w:noProof/>
        </w:rPr>
        <w:t>10</w:t>
      </w:r>
      <w:r w:rsidR="002D547D">
        <w:rPr>
          <w:noProof/>
        </w:rPr>
        <w:fldChar w:fldCharType="end"/>
      </w:r>
      <w:r w:rsidRPr="0053268B">
        <w:t>: When a larger SCS schedules a smaller SCS for UL data, the overlapping slot is considered as K2=0.</w:t>
      </w:r>
      <w:bookmarkEnd w:id="95"/>
      <w:bookmarkEnd w:id="96"/>
      <w:bookmarkEnd w:id="97"/>
      <w:bookmarkEnd w:id="98"/>
      <w:bookmarkEnd w:id="99"/>
      <w:bookmarkEnd w:id="100"/>
      <w:bookmarkEnd w:id="101"/>
    </w:p>
    <w:p w14:paraId="51C5C450" w14:textId="4F43A5AF" w:rsidR="005A54DF" w:rsidRPr="0053268B" w:rsidRDefault="005A54DF" w:rsidP="0053268B">
      <w:pPr>
        <w:pStyle w:val="Caption"/>
      </w:pPr>
      <w:bookmarkStart w:id="102" w:name="_Toc494713335"/>
      <w:bookmarkStart w:id="103" w:name="_Toc494713423"/>
      <w:bookmarkStart w:id="104" w:name="_Toc494734990"/>
      <w:bookmarkStart w:id="105" w:name="_Toc494735056"/>
      <w:bookmarkStart w:id="106" w:name="_Toc494735633"/>
      <w:bookmarkStart w:id="107" w:name="_Toc494745997"/>
      <w:bookmarkStart w:id="108" w:name="_Toc494746314"/>
      <w:r w:rsidRPr="0053268B">
        <w:t xml:space="preserve">Proposal </w:t>
      </w:r>
      <w:r w:rsidR="002D547D">
        <w:fldChar w:fldCharType="begin"/>
      </w:r>
      <w:r w:rsidR="002D547D">
        <w:instrText xml:space="preserve"> SEQ Proposal \* ARABIC </w:instrText>
      </w:r>
      <w:r w:rsidR="002D547D">
        <w:fldChar w:fldCharType="separate"/>
      </w:r>
      <w:r w:rsidR="00092D01">
        <w:rPr>
          <w:noProof/>
        </w:rPr>
        <w:t>11</w:t>
      </w:r>
      <w:r w:rsidR="002D547D">
        <w:rPr>
          <w:noProof/>
        </w:rPr>
        <w:fldChar w:fldCharType="end"/>
      </w:r>
      <w:r w:rsidRPr="0053268B">
        <w:t>: When a smaller SCS schedules a larger SCS for UL data, K2=0 is defined for the slot whose beginning slot boundary is aligned with that of the slot containing PDCCH with UL grant.</w:t>
      </w:r>
      <w:bookmarkEnd w:id="102"/>
      <w:bookmarkEnd w:id="103"/>
      <w:bookmarkEnd w:id="104"/>
      <w:bookmarkEnd w:id="105"/>
      <w:bookmarkEnd w:id="106"/>
      <w:bookmarkEnd w:id="107"/>
      <w:bookmarkEnd w:id="108"/>
    </w:p>
    <w:p w14:paraId="2B091F36" w14:textId="77777777" w:rsidR="005A54DF" w:rsidRDefault="005A54DF" w:rsidP="005A54DF">
      <w:pPr>
        <w:jc w:val="center"/>
        <w:rPr>
          <w:lang w:val="en-GB"/>
        </w:rPr>
      </w:pPr>
      <w:r w:rsidRPr="00177447">
        <w:object w:dxaOrig="15474" w:dyaOrig="5876" w14:anchorId="3BB2BFE7">
          <v:shape id="_x0000_i1028" type="#_x0000_t75" style="width:349.05pt;height:133.5pt" o:ole="">
            <v:imagedata r:id="rId18" o:title=""/>
          </v:shape>
          <o:OLEObject Type="Embed" ProgID="Visio.Drawing.11" ShapeID="_x0000_i1028" DrawAspect="Content" ObjectID="_1568488780" r:id="rId19"/>
        </w:object>
      </w:r>
    </w:p>
    <w:p w14:paraId="17FF258C" w14:textId="77777777" w:rsidR="005A54DF" w:rsidRPr="00177447" w:rsidRDefault="005A54DF" w:rsidP="005A54DF">
      <w:pPr>
        <w:pStyle w:val="ListParagraph"/>
        <w:numPr>
          <w:ilvl w:val="0"/>
          <w:numId w:val="28"/>
        </w:numPr>
      </w:pPr>
      <w:r>
        <w:t>Case 1: Larger SCS scheduling smaller SCS</w:t>
      </w:r>
    </w:p>
    <w:p w14:paraId="325037EA" w14:textId="77777777" w:rsidR="005A54DF" w:rsidRDefault="005A54DF" w:rsidP="005A54DF">
      <w:pPr>
        <w:keepNext/>
        <w:jc w:val="center"/>
        <w:rPr>
          <w:lang w:val="en-GB"/>
        </w:rPr>
      </w:pPr>
      <w:r w:rsidRPr="00177447">
        <w:object w:dxaOrig="15474" w:dyaOrig="5876" w14:anchorId="5378C6FA">
          <v:shape id="_x0000_i1029" type="#_x0000_t75" style="width:349.05pt;height:133.5pt" o:ole="">
            <v:imagedata r:id="rId20" o:title=""/>
          </v:shape>
          <o:OLEObject Type="Embed" ProgID="Visio.Drawing.11" ShapeID="_x0000_i1029" DrawAspect="Content" ObjectID="_1568488781" r:id="rId21"/>
        </w:object>
      </w:r>
    </w:p>
    <w:p w14:paraId="4A7DCD7F" w14:textId="77777777" w:rsidR="005A54DF" w:rsidRDefault="005A54DF" w:rsidP="005A54DF">
      <w:pPr>
        <w:pStyle w:val="ListParagraph"/>
        <w:numPr>
          <w:ilvl w:val="0"/>
          <w:numId w:val="28"/>
        </w:numPr>
      </w:pPr>
      <w:r>
        <w:t>Case 2: Smaller SCS scheduling larger SCS</w:t>
      </w:r>
    </w:p>
    <w:p w14:paraId="57415189" w14:textId="2767EF62" w:rsidR="005A54DF" w:rsidRDefault="005A54DF" w:rsidP="005A54DF">
      <w:pPr>
        <w:pStyle w:val="Caption"/>
        <w:jc w:val="center"/>
      </w:pPr>
      <w:r>
        <w:t xml:space="preserve">Figure </w:t>
      </w:r>
      <w:r w:rsidR="002D547D">
        <w:fldChar w:fldCharType="begin"/>
      </w:r>
      <w:r w:rsidR="002D547D">
        <w:instrText xml:space="preserve"> SEQ Figure \* ARABIC </w:instrText>
      </w:r>
      <w:r w:rsidR="002D547D">
        <w:fldChar w:fldCharType="separate"/>
      </w:r>
      <w:r w:rsidR="00092D01">
        <w:rPr>
          <w:noProof/>
        </w:rPr>
        <w:t>5</w:t>
      </w:r>
      <w:r w:rsidR="002D547D">
        <w:rPr>
          <w:noProof/>
        </w:rPr>
        <w:fldChar w:fldCharType="end"/>
      </w:r>
      <w:r>
        <w:t>: Cross carrier DL scheduling with mixed numerology</w:t>
      </w:r>
    </w:p>
    <w:p w14:paraId="7FE1CAC9" w14:textId="77777777" w:rsidR="005A54DF" w:rsidRDefault="005A54DF" w:rsidP="005A54DF">
      <w:pPr>
        <w:rPr>
          <w:lang w:val="en-GB"/>
        </w:rPr>
      </w:pPr>
    </w:p>
    <w:p w14:paraId="142D6EF1" w14:textId="77777777" w:rsidR="005A54DF" w:rsidRDefault="005A54DF" w:rsidP="005A54DF">
      <w:pPr>
        <w:pStyle w:val="Heading2"/>
      </w:pPr>
      <w:r>
        <w:t>HARQ feedback handling</w:t>
      </w:r>
    </w:p>
    <w:p w14:paraId="2E05D903" w14:textId="77777777" w:rsidR="005A54DF" w:rsidRDefault="005A54DF" w:rsidP="005A54DF">
      <w:pPr>
        <w:rPr>
          <w:lang w:val="en-GB"/>
        </w:rPr>
      </w:pPr>
      <w:r>
        <w:rPr>
          <w:lang w:val="en-GB"/>
        </w:rPr>
        <w:t xml:space="preserve">Cross carrier acknowledgement with mixed numerology was also agreed for NR. Figure 2 shows two cases for cross carrier acknowledgement with mixed numerology for DL scheduling. Case 1 is when A/N is transmitted on a carrier with smaller SCS. Case 2 is the other case. </w:t>
      </w:r>
    </w:p>
    <w:p w14:paraId="31630A2E" w14:textId="77777777" w:rsidR="005A54DF" w:rsidRDefault="005A54DF" w:rsidP="005A54DF">
      <w:pPr>
        <w:rPr>
          <w:lang w:val="en-GB"/>
        </w:rPr>
      </w:pPr>
      <w:r>
        <w:rPr>
          <w:lang w:val="en-GB"/>
        </w:rPr>
        <w:t>For case 1, similar to data scheduling in subsection 2.1, the following proposals are made.</w:t>
      </w:r>
    </w:p>
    <w:p w14:paraId="3F8A4221" w14:textId="25FB11AD" w:rsidR="005A54DF" w:rsidRPr="0053268B" w:rsidRDefault="005A54DF" w:rsidP="0053268B">
      <w:pPr>
        <w:pStyle w:val="Caption"/>
      </w:pPr>
      <w:bookmarkStart w:id="109" w:name="_Toc494713336"/>
      <w:bookmarkStart w:id="110" w:name="_Toc494713424"/>
      <w:bookmarkStart w:id="111" w:name="_Toc494734991"/>
      <w:bookmarkStart w:id="112" w:name="_Toc494735057"/>
      <w:bookmarkStart w:id="113" w:name="_Toc494735634"/>
      <w:bookmarkStart w:id="114" w:name="_Toc494745998"/>
      <w:bookmarkStart w:id="115" w:name="_Toc494746315"/>
      <w:r w:rsidRPr="0053268B">
        <w:t xml:space="preserve">Proposal </w:t>
      </w:r>
      <w:r w:rsidR="002D547D">
        <w:fldChar w:fldCharType="begin"/>
      </w:r>
      <w:r w:rsidR="002D547D">
        <w:instrText xml:space="preserve"> SEQ Proposal \* ARABIC </w:instrText>
      </w:r>
      <w:r w:rsidR="002D547D">
        <w:fldChar w:fldCharType="separate"/>
      </w:r>
      <w:r w:rsidR="00092D01">
        <w:rPr>
          <w:noProof/>
        </w:rPr>
        <w:t>12</w:t>
      </w:r>
      <w:r w:rsidR="002D547D">
        <w:rPr>
          <w:noProof/>
        </w:rPr>
        <w:fldChar w:fldCharType="end"/>
      </w:r>
      <w:r w:rsidRPr="0053268B">
        <w:t>: When A/N is transmitted on a carrier with a smaller SCS, the overlapping slot is considered as K1=0.</w:t>
      </w:r>
      <w:bookmarkEnd w:id="109"/>
      <w:bookmarkEnd w:id="110"/>
      <w:bookmarkEnd w:id="111"/>
      <w:bookmarkEnd w:id="112"/>
      <w:bookmarkEnd w:id="113"/>
      <w:bookmarkEnd w:id="114"/>
      <w:bookmarkEnd w:id="115"/>
    </w:p>
    <w:p w14:paraId="3617C767" w14:textId="77777777" w:rsidR="005A54DF" w:rsidRDefault="005A54DF" w:rsidP="005A54DF">
      <w:pPr>
        <w:rPr>
          <w:lang w:val="en-GB"/>
        </w:rPr>
      </w:pPr>
      <w:r>
        <w:rPr>
          <w:lang w:val="en-GB"/>
        </w:rPr>
        <w:t>For case 2, K1 definition needs some clarification. The following is proposed.</w:t>
      </w:r>
    </w:p>
    <w:p w14:paraId="494984F9" w14:textId="4F18B2B2" w:rsidR="005A54DF" w:rsidRPr="0053268B" w:rsidRDefault="005A54DF" w:rsidP="0053268B">
      <w:pPr>
        <w:pStyle w:val="Caption"/>
      </w:pPr>
      <w:bookmarkStart w:id="116" w:name="_Toc494713337"/>
      <w:bookmarkStart w:id="117" w:name="_Toc494713425"/>
      <w:bookmarkStart w:id="118" w:name="_Toc494734992"/>
      <w:bookmarkStart w:id="119" w:name="_Toc494735058"/>
      <w:bookmarkStart w:id="120" w:name="_Toc494735635"/>
      <w:bookmarkStart w:id="121" w:name="_Toc494745999"/>
      <w:bookmarkStart w:id="122" w:name="_Toc494746316"/>
      <w:r w:rsidRPr="0053268B">
        <w:t xml:space="preserve">Proposal </w:t>
      </w:r>
      <w:r w:rsidR="002D547D">
        <w:fldChar w:fldCharType="begin"/>
      </w:r>
      <w:r w:rsidR="002D547D">
        <w:instrText xml:space="preserve"> SEQ Proposal \* ARABIC </w:instrText>
      </w:r>
      <w:r w:rsidR="002D547D">
        <w:fldChar w:fldCharType="separate"/>
      </w:r>
      <w:r w:rsidR="00092D01">
        <w:rPr>
          <w:noProof/>
        </w:rPr>
        <w:t>13</w:t>
      </w:r>
      <w:r w:rsidR="002D547D">
        <w:rPr>
          <w:noProof/>
        </w:rPr>
        <w:fldChar w:fldCharType="end"/>
      </w:r>
      <w:r w:rsidRPr="0053268B">
        <w:t>: When A/N is transmitted on a carrier with a larger SCS, K1=0 is defined for the slot whose ending slot boundary is aligned with that of the slot containing PDSCH.</w:t>
      </w:r>
      <w:bookmarkEnd w:id="116"/>
      <w:bookmarkEnd w:id="117"/>
      <w:bookmarkEnd w:id="118"/>
      <w:bookmarkEnd w:id="119"/>
      <w:bookmarkEnd w:id="120"/>
      <w:bookmarkEnd w:id="121"/>
      <w:bookmarkEnd w:id="122"/>
    </w:p>
    <w:p w14:paraId="247F1408" w14:textId="77777777" w:rsidR="005A54DF" w:rsidRDefault="005A54DF" w:rsidP="005A54DF">
      <w:pPr>
        <w:rPr>
          <w:lang w:val="en-GB"/>
        </w:rPr>
      </w:pPr>
      <w:r>
        <w:rPr>
          <w:lang w:val="en-GB"/>
        </w:rPr>
        <w:t>In other words, slot 2n+1 becomes K1=0. Slot 2n+2 is K1=1, 2n+3 is K1=2 and so on.</w:t>
      </w:r>
    </w:p>
    <w:p w14:paraId="3A304D00" w14:textId="77777777" w:rsidR="005A54DF" w:rsidRDefault="005A54DF" w:rsidP="005A54DF">
      <w:pPr>
        <w:rPr>
          <w:lang w:val="en-GB"/>
        </w:rPr>
      </w:pPr>
    </w:p>
    <w:p w14:paraId="6A06C786" w14:textId="77777777" w:rsidR="005A54DF" w:rsidRDefault="005A54DF" w:rsidP="005A54DF">
      <w:pPr>
        <w:keepNext/>
        <w:jc w:val="center"/>
        <w:rPr>
          <w:lang w:val="en-GB"/>
        </w:rPr>
      </w:pPr>
      <w:r w:rsidRPr="000372BF">
        <w:object w:dxaOrig="9608" w:dyaOrig="1682" w14:anchorId="5B76384A">
          <v:shape id="_x0000_i1030" type="#_x0000_t75" style="width:480.75pt;height:84.3pt" o:ole="">
            <v:imagedata r:id="rId22" o:title=""/>
          </v:shape>
          <o:OLEObject Type="Embed" ProgID="Visio.Drawing.11" ShapeID="_x0000_i1030" DrawAspect="Content" ObjectID="_1568488782" r:id="rId23"/>
        </w:object>
      </w:r>
    </w:p>
    <w:p w14:paraId="2121474F" w14:textId="77777777" w:rsidR="005A54DF" w:rsidRDefault="005A54DF" w:rsidP="005A54DF">
      <w:pPr>
        <w:keepNext/>
        <w:jc w:val="center"/>
      </w:pPr>
      <w:r>
        <w:t>(a) Case 1: A/N transmitted on a carrier with smaller SCS</w:t>
      </w:r>
    </w:p>
    <w:p w14:paraId="14B95D32" w14:textId="77777777" w:rsidR="005A54DF" w:rsidRDefault="005A54DF" w:rsidP="005A54DF">
      <w:pPr>
        <w:jc w:val="center"/>
        <w:rPr>
          <w:lang w:val="en-GB"/>
        </w:rPr>
      </w:pPr>
      <w:r w:rsidRPr="007D73C2">
        <w:object w:dxaOrig="16502" w:dyaOrig="4341" w14:anchorId="615A560F">
          <v:shape id="_x0000_i1031" type="#_x0000_t75" style="width:481.65pt;height:127.15pt" o:ole="">
            <v:imagedata r:id="rId24" o:title=""/>
          </v:shape>
          <o:OLEObject Type="Embed" ProgID="Visio.Drawing.11" ShapeID="_x0000_i1031" DrawAspect="Content" ObjectID="_1568488783" r:id="rId25"/>
        </w:object>
      </w:r>
    </w:p>
    <w:p w14:paraId="2639032F" w14:textId="77777777" w:rsidR="005A54DF" w:rsidRDefault="005A54DF" w:rsidP="005A54DF">
      <w:pPr>
        <w:jc w:val="center"/>
        <w:rPr>
          <w:lang w:val="en-GB"/>
        </w:rPr>
      </w:pPr>
      <w:r>
        <w:rPr>
          <w:lang w:val="en-GB"/>
        </w:rPr>
        <w:t>(b) Case 2: A/N transmitted on a carrier with larger SCS</w:t>
      </w:r>
    </w:p>
    <w:p w14:paraId="743BE881" w14:textId="4CF6362A" w:rsidR="005A54DF" w:rsidRDefault="005A54DF" w:rsidP="005A54DF">
      <w:pPr>
        <w:pStyle w:val="Caption"/>
        <w:jc w:val="center"/>
      </w:pPr>
      <w:r>
        <w:t xml:space="preserve">Figure </w:t>
      </w:r>
      <w:r w:rsidR="002D547D">
        <w:fldChar w:fldCharType="begin"/>
      </w:r>
      <w:r w:rsidR="002D547D">
        <w:instrText xml:space="preserve"> SEQ Figure \* ARABIC </w:instrText>
      </w:r>
      <w:r w:rsidR="002D547D">
        <w:fldChar w:fldCharType="separate"/>
      </w:r>
      <w:r w:rsidR="00092D01">
        <w:rPr>
          <w:noProof/>
        </w:rPr>
        <w:t>6</w:t>
      </w:r>
      <w:r w:rsidR="002D547D">
        <w:rPr>
          <w:noProof/>
        </w:rPr>
        <w:fldChar w:fldCharType="end"/>
      </w:r>
      <w:r>
        <w:t>: Cross carrier ACK transmission with mixed numerology</w:t>
      </w:r>
    </w:p>
    <w:p w14:paraId="3953932D" w14:textId="77777777" w:rsidR="005A54DF" w:rsidRPr="00A54974" w:rsidRDefault="005A54DF" w:rsidP="005A54DF"/>
    <w:p w14:paraId="5641F7FE" w14:textId="77777777" w:rsidR="005A54DF" w:rsidRDefault="005A54DF" w:rsidP="005A54DF">
      <w:pPr>
        <w:pStyle w:val="Heading2"/>
      </w:pPr>
      <w:r>
        <w:t>Group common PDCCH with CA</w:t>
      </w:r>
    </w:p>
    <w:p w14:paraId="3BD3B286" w14:textId="77777777" w:rsidR="005A54DF" w:rsidRDefault="005A54DF" w:rsidP="005A54DF">
      <w:pPr>
        <w:rPr>
          <w:lang w:val="en-GB"/>
        </w:rPr>
      </w:pPr>
      <w:r>
        <w:rPr>
          <w:lang w:val="en-GB"/>
        </w:rPr>
        <w:t>Group common PDCCH is used for dynamic indication of SFI in NR. By default we can consider the scope of SFI carried by GC PDCCH is limited to its own CC. On the other hand, in the case where cross carrier is deployed (e.g., control in sub-6 and data in mmW), it may be beneficial to carry the SFI for cross carrier as well. Therefore, it is proposed to support cross carrier GC PDCCH.</w:t>
      </w:r>
    </w:p>
    <w:p w14:paraId="4374A40F" w14:textId="76C895D1" w:rsidR="005A54DF" w:rsidRPr="0053268B" w:rsidRDefault="005A54DF" w:rsidP="0053268B">
      <w:pPr>
        <w:pStyle w:val="Caption"/>
      </w:pPr>
      <w:bookmarkStart w:id="123" w:name="_Toc494713338"/>
      <w:bookmarkStart w:id="124" w:name="_Toc494713426"/>
      <w:bookmarkStart w:id="125" w:name="_Toc494734993"/>
      <w:bookmarkStart w:id="126" w:name="_Toc494735059"/>
      <w:bookmarkStart w:id="127" w:name="_Toc494735636"/>
      <w:bookmarkStart w:id="128" w:name="_Toc494746000"/>
      <w:bookmarkStart w:id="129" w:name="_Toc494746317"/>
      <w:r w:rsidRPr="0053268B">
        <w:t xml:space="preserve">Proposal </w:t>
      </w:r>
      <w:r w:rsidR="002D547D">
        <w:fldChar w:fldCharType="begin"/>
      </w:r>
      <w:r w:rsidR="002D547D">
        <w:instrText xml:space="preserve"> SEQ Proposal \* ARABIC </w:instrText>
      </w:r>
      <w:r w:rsidR="002D547D">
        <w:fldChar w:fldCharType="separate"/>
      </w:r>
      <w:r w:rsidR="00092D01">
        <w:rPr>
          <w:noProof/>
        </w:rPr>
        <w:t>14</w:t>
      </w:r>
      <w:r w:rsidR="002D547D">
        <w:rPr>
          <w:noProof/>
        </w:rPr>
        <w:fldChar w:fldCharType="end"/>
      </w:r>
      <w:r w:rsidRPr="0053268B">
        <w:t>: NR supports cross carrier group common PDCCH.</w:t>
      </w:r>
      <w:bookmarkEnd w:id="123"/>
      <w:bookmarkEnd w:id="124"/>
      <w:bookmarkEnd w:id="125"/>
      <w:bookmarkEnd w:id="126"/>
      <w:bookmarkEnd w:id="127"/>
      <w:bookmarkEnd w:id="128"/>
      <w:bookmarkEnd w:id="129"/>
    </w:p>
    <w:p w14:paraId="6CC6A412" w14:textId="77777777" w:rsidR="005A54DF" w:rsidRDefault="005A54DF" w:rsidP="005A54DF">
      <w:pPr>
        <w:jc w:val="center"/>
        <w:rPr>
          <w:lang w:val="en-GB"/>
        </w:rPr>
      </w:pPr>
      <w:r w:rsidRPr="003A1E6E">
        <w:object w:dxaOrig="15474" w:dyaOrig="5876" w14:anchorId="61A45BDB">
          <v:shape id="_x0000_i1032" type="#_x0000_t75" style="width:311.25pt;height:118.5pt" o:ole="">
            <v:imagedata r:id="rId26" o:title=""/>
          </v:shape>
          <o:OLEObject Type="Embed" ProgID="Visio.Drawing.11" ShapeID="_x0000_i1032" DrawAspect="Content" ObjectID="_1568488784" r:id="rId27"/>
        </w:object>
      </w:r>
    </w:p>
    <w:p w14:paraId="1B913177" w14:textId="77777777" w:rsidR="005A54DF" w:rsidRDefault="005A54DF" w:rsidP="005A54DF">
      <w:pPr>
        <w:jc w:val="center"/>
        <w:rPr>
          <w:lang w:val="en-GB"/>
        </w:rPr>
      </w:pPr>
      <w:r>
        <w:rPr>
          <w:lang w:val="en-GB"/>
        </w:rPr>
        <w:t>(a) Cross carrier GC PDCCH from a larger SCS carrier</w:t>
      </w:r>
    </w:p>
    <w:p w14:paraId="2C235D80" w14:textId="77777777" w:rsidR="005A54DF" w:rsidRDefault="005A54DF" w:rsidP="005A54DF">
      <w:pPr>
        <w:keepNext/>
        <w:jc w:val="center"/>
        <w:rPr>
          <w:lang w:val="en-GB"/>
        </w:rPr>
      </w:pPr>
      <w:r w:rsidRPr="003A1E6E">
        <w:object w:dxaOrig="15474" w:dyaOrig="5876" w14:anchorId="7964DBAA">
          <v:shape id="_x0000_i1033" type="#_x0000_t75" style="width:311.25pt;height:118.5pt" o:ole="">
            <v:imagedata r:id="rId28" o:title=""/>
          </v:shape>
          <o:OLEObject Type="Embed" ProgID="Visio.Drawing.11" ShapeID="_x0000_i1033" DrawAspect="Content" ObjectID="_1568488785" r:id="rId29"/>
        </w:object>
      </w:r>
    </w:p>
    <w:p w14:paraId="63C6C4F9" w14:textId="77777777" w:rsidR="005A54DF" w:rsidRDefault="005A54DF" w:rsidP="005A54DF">
      <w:pPr>
        <w:keepNext/>
        <w:jc w:val="center"/>
      </w:pPr>
      <w:r>
        <w:rPr>
          <w:lang w:val="en-GB"/>
        </w:rPr>
        <w:t>(b) Cross carrier GC PDCCH from a smaller SCS carrier</w:t>
      </w:r>
    </w:p>
    <w:p w14:paraId="5B7F7D9D" w14:textId="10100495" w:rsidR="005A54DF" w:rsidRDefault="005A54DF" w:rsidP="005A54DF">
      <w:pPr>
        <w:pStyle w:val="Caption"/>
        <w:jc w:val="center"/>
      </w:pPr>
      <w:r>
        <w:t xml:space="preserve">Figure </w:t>
      </w:r>
      <w:r w:rsidR="002D547D">
        <w:fldChar w:fldCharType="begin"/>
      </w:r>
      <w:r w:rsidR="002D547D">
        <w:instrText xml:space="preserve"> SEQ Figure \* ARABIC </w:instrText>
      </w:r>
      <w:r w:rsidR="002D547D">
        <w:fldChar w:fldCharType="separate"/>
      </w:r>
      <w:r w:rsidR="00092D01">
        <w:rPr>
          <w:noProof/>
        </w:rPr>
        <w:t>7</w:t>
      </w:r>
      <w:r w:rsidR="002D547D">
        <w:rPr>
          <w:noProof/>
        </w:rPr>
        <w:fldChar w:fldCharType="end"/>
      </w:r>
      <w:r>
        <w:t>: Group common PDCCH with mixed numerology</w:t>
      </w:r>
    </w:p>
    <w:p w14:paraId="4502E539" w14:textId="77777777" w:rsidR="005A54DF" w:rsidRPr="00315DEC" w:rsidRDefault="005A54DF" w:rsidP="005A54DF"/>
    <w:p w14:paraId="1B2098D8" w14:textId="77777777" w:rsidR="005A54DF" w:rsidRDefault="005A54DF" w:rsidP="005A54DF">
      <w:pPr>
        <w:pStyle w:val="Heading2"/>
        <w:tabs>
          <w:tab w:val="left" w:pos="720"/>
        </w:tabs>
        <w:textAlignment w:val="auto"/>
      </w:pPr>
      <w:r>
        <w:t>Power control with mixed numerology</w:t>
      </w:r>
    </w:p>
    <w:p w14:paraId="4C9467D7" w14:textId="77777777" w:rsidR="005A54DF" w:rsidRDefault="005A54DF" w:rsidP="005A54DF">
      <w:pPr>
        <w:spacing w:after="120"/>
      </w:pPr>
      <w:r>
        <w:t>UL CA will also be supported with NR. When UL CCs have different numerologies, UE transmit power changes in the middle of the slot with a smaller SCS due to the slot boundary with a larger SCS. This may cause the gate state switching which causes phase discontinuity. Phase discontinuity will lead to demodulation performance degradation due to the mismatch between estimated channel and the channel experienced by the data channel. Due to this reason, it is proposed to have a single PC group corresponding to a group of the same numerology per band. CCs in inter-band CA can have individual PC group, given the use of separate PA/RF chains.</w:t>
      </w:r>
    </w:p>
    <w:p w14:paraId="746086FB" w14:textId="369D1843" w:rsidR="005A54DF" w:rsidRDefault="005A54DF" w:rsidP="0053268B">
      <w:pPr>
        <w:pStyle w:val="Caption"/>
      </w:pPr>
      <w:bookmarkStart w:id="130" w:name="_Toc494713339"/>
      <w:bookmarkStart w:id="131" w:name="_Toc494713427"/>
      <w:bookmarkStart w:id="132" w:name="_Toc494734994"/>
      <w:bookmarkStart w:id="133" w:name="_Toc494735060"/>
      <w:bookmarkStart w:id="134" w:name="_Toc494735637"/>
      <w:bookmarkStart w:id="135" w:name="_Toc494746001"/>
      <w:bookmarkStart w:id="136" w:name="_Toc494746318"/>
      <w:r w:rsidRPr="0053268B">
        <w:t xml:space="preserve">Proposal </w:t>
      </w:r>
      <w:r w:rsidR="002D547D">
        <w:fldChar w:fldCharType="begin"/>
      </w:r>
      <w:r w:rsidR="002D547D">
        <w:instrText xml:space="preserve"> SEQ Proposal \* ARABIC </w:instrText>
      </w:r>
      <w:r w:rsidR="002D547D">
        <w:fldChar w:fldCharType="separate"/>
      </w:r>
      <w:r w:rsidR="00092D01">
        <w:rPr>
          <w:noProof/>
        </w:rPr>
        <w:t>15</w:t>
      </w:r>
      <w:r w:rsidR="002D547D">
        <w:rPr>
          <w:noProof/>
        </w:rPr>
        <w:fldChar w:fldCharType="end"/>
      </w:r>
      <w:r w:rsidRPr="0053268B">
        <w:t>:</w:t>
      </w:r>
      <w:r>
        <w:t xml:space="preserve"> NR supports a single power control group corresponding to a group of the same numerology per band.</w:t>
      </w:r>
      <w:bookmarkEnd w:id="130"/>
      <w:bookmarkEnd w:id="131"/>
      <w:bookmarkEnd w:id="132"/>
      <w:bookmarkEnd w:id="133"/>
      <w:bookmarkEnd w:id="134"/>
      <w:bookmarkEnd w:id="135"/>
      <w:bookmarkEnd w:id="136"/>
    </w:p>
    <w:p w14:paraId="36275042" w14:textId="77777777" w:rsidR="005A54DF" w:rsidRDefault="005A54DF" w:rsidP="005A54DF">
      <w:pPr>
        <w:pStyle w:val="Heading1"/>
      </w:pPr>
      <w:r>
        <w:t>Rel-15 NR CA workplan</w:t>
      </w:r>
    </w:p>
    <w:p w14:paraId="1D3EBE3C" w14:textId="77777777" w:rsidR="005A54DF" w:rsidRDefault="005A54DF" w:rsidP="005A54DF">
      <w:pPr>
        <w:rPr>
          <w:lang w:val="en-GB"/>
        </w:rPr>
      </w:pPr>
      <w:r>
        <w:rPr>
          <w:lang w:val="en-GB"/>
        </w:rPr>
        <w:t>It has been already agreed that NR supports CA with mixed numerology including cross-carrier scheduling and joint UCI feedback. Considering the complexity of handling different length slots with DCI/UCI/CSI/UL TA and considering the tight timeline for Rel-15 phase 1, RAN1 may consider introducing the feature in a phased manner, i.e.,</w:t>
      </w:r>
    </w:p>
    <w:p w14:paraId="0B14B780" w14:textId="3D4090CD" w:rsidR="005A54DF" w:rsidRPr="0053268B" w:rsidRDefault="005A54DF" w:rsidP="0053268B">
      <w:pPr>
        <w:pStyle w:val="Caption"/>
        <w:rPr>
          <w:b w:val="0"/>
        </w:rPr>
      </w:pPr>
      <w:bookmarkStart w:id="137" w:name="_Toc494713340"/>
      <w:bookmarkStart w:id="138" w:name="_Toc494713428"/>
      <w:bookmarkStart w:id="139" w:name="_Toc494734995"/>
      <w:bookmarkStart w:id="140" w:name="_Toc494735061"/>
      <w:bookmarkStart w:id="141" w:name="_Toc494735638"/>
      <w:bookmarkStart w:id="142" w:name="_Toc494746002"/>
      <w:bookmarkStart w:id="143" w:name="_Toc494746319"/>
      <w:r w:rsidRPr="0053268B">
        <w:t xml:space="preserve">Proposal </w:t>
      </w:r>
      <w:r w:rsidR="002D547D">
        <w:fldChar w:fldCharType="begin"/>
      </w:r>
      <w:r w:rsidR="002D547D">
        <w:instrText xml:space="preserve"> SEQ Proposal \* ARABIC </w:instrText>
      </w:r>
      <w:r w:rsidR="002D547D">
        <w:fldChar w:fldCharType="separate"/>
      </w:r>
      <w:r w:rsidR="00092D01">
        <w:rPr>
          <w:noProof/>
        </w:rPr>
        <w:t>16</w:t>
      </w:r>
      <w:r w:rsidR="002D547D">
        <w:rPr>
          <w:noProof/>
        </w:rPr>
        <w:fldChar w:fldCharType="end"/>
      </w:r>
      <w:r w:rsidRPr="0053268B">
        <w:t>:</w:t>
      </w:r>
      <w:bookmarkEnd w:id="137"/>
      <w:bookmarkEnd w:id="138"/>
      <w:bookmarkEnd w:id="139"/>
      <w:bookmarkEnd w:id="140"/>
      <w:bookmarkEnd w:id="141"/>
      <w:bookmarkEnd w:id="142"/>
      <w:bookmarkEnd w:id="143"/>
    </w:p>
    <w:p w14:paraId="3A745E82" w14:textId="0C487ED3" w:rsidR="005A54DF" w:rsidRPr="00460535" w:rsidRDefault="005A54DF" w:rsidP="0053268B">
      <w:pPr>
        <w:pStyle w:val="Caption"/>
        <w:numPr>
          <w:ilvl w:val="0"/>
          <w:numId w:val="36"/>
        </w:numPr>
      </w:pPr>
      <w:r w:rsidRPr="00460535">
        <w:t>For Rel-15 phase 1</w:t>
      </w:r>
      <w:r>
        <w:t xml:space="preserve"> (Dec 2017)</w:t>
      </w:r>
      <w:r w:rsidRPr="00460535">
        <w:t>,</w:t>
      </w:r>
      <w:r>
        <w:t xml:space="preserve"> </w:t>
      </w:r>
      <w:r w:rsidRPr="00460535">
        <w:t xml:space="preserve">introduce the support of cross carrier DCI/UCI/CSI/UL TA within a group of the same numerology. </w:t>
      </w:r>
    </w:p>
    <w:p w14:paraId="319D9EF4" w14:textId="05786898" w:rsidR="005A54DF" w:rsidRDefault="005A54DF" w:rsidP="0053268B">
      <w:pPr>
        <w:pStyle w:val="Caption"/>
        <w:numPr>
          <w:ilvl w:val="0"/>
          <w:numId w:val="36"/>
        </w:numPr>
      </w:pPr>
      <w:r w:rsidRPr="00460535">
        <w:t>For Rel-15 phase 2</w:t>
      </w:r>
      <w:r>
        <w:t xml:space="preserve"> (June 2018)</w:t>
      </w:r>
      <w:r w:rsidRPr="00460535">
        <w:t>,</w:t>
      </w:r>
      <w:r>
        <w:t xml:space="preserve"> </w:t>
      </w:r>
      <w:r w:rsidRPr="00460535">
        <w:t>introduce the support of cross carrier DCI/UCI/CSI between mixed numerology.</w:t>
      </w:r>
    </w:p>
    <w:p w14:paraId="06E7D188" w14:textId="77777777" w:rsidR="005A54DF" w:rsidRPr="00A54974" w:rsidRDefault="005A54DF" w:rsidP="005A54DF">
      <w:pPr>
        <w:spacing w:after="120"/>
      </w:pPr>
      <w:r>
        <w:t>This just shows one way of achieving a phased introduction for NR CA but other approaches can be discussed and considered.</w:t>
      </w:r>
    </w:p>
    <w:p w14:paraId="16CFBAF1" w14:textId="7203D363" w:rsidR="00E4038C" w:rsidRDefault="00E4038C" w:rsidP="00C227E3">
      <w:pPr>
        <w:pStyle w:val="Heading1"/>
        <w:rPr>
          <w:lang w:eastAsia="zh-CN"/>
        </w:rPr>
      </w:pPr>
      <w:r w:rsidRPr="00C227E3">
        <w:t>Conclusions</w:t>
      </w:r>
    </w:p>
    <w:p w14:paraId="4A7CCD54" w14:textId="1E0ACDC3" w:rsidR="00AF5673" w:rsidRDefault="00AF5673" w:rsidP="00AF5673">
      <w:pPr>
        <w:spacing w:after="120"/>
      </w:pPr>
      <w:r>
        <w:t xml:space="preserve">This contribution has </w:t>
      </w:r>
      <w:r w:rsidR="007B645F">
        <w:t>presented</w:t>
      </w:r>
      <w:r>
        <w:t xml:space="preserve"> issues in CA and BWP for NR including unified framework for CA and BWP handling, timeline with activation/deactivation, and CA with mixed numerology. We also discussed the scope for Rel-15 NR CA related to mixed numerology.</w:t>
      </w:r>
      <w:r w:rsidR="007B645F">
        <w:t xml:space="preserve"> The following observation and proposals have been made:</w:t>
      </w:r>
    </w:p>
    <w:p w14:paraId="1F84689D" w14:textId="77777777" w:rsidR="00331915" w:rsidRDefault="00331915" w:rsidP="00AF5673">
      <w:pPr>
        <w:spacing w:after="120"/>
      </w:pPr>
    </w:p>
    <w:p w14:paraId="7B221BC3" w14:textId="546DA7A1" w:rsidR="00BE6038" w:rsidRDefault="009E3E19">
      <w:pPr>
        <w:pStyle w:val="TableofFigures"/>
        <w:tabs>
          <w:tab w:val="right" w:leader="dot" w:pos="9628"/>
        </w:tabs>
        <w:rPr>
          <w:rFonts w:asciiTheme="minorHAnsi" w:eastAsiaTheme="minorEastAsia" w:hAnsiTheme="minorHAnsi" w:cstheme="minorBidi"/>
          <w:noProof/>
          <w:sz w:val="22"/>
          <w:szCs w:val="22"/>
        </w:rPr>
      </w:pPr>
      <w:r>
        <w:fldChar w:fldCharType="begin"/>
      </w:r>
      <w:r>
        <w:instrText xml:space="preserve"> TOC \n \c "Observation" </w:instrText>
      </w:r>
      <w:r>
        <w:fldChar w:fldCharType="separate"/>
      </w:r>
      <w:r w:rsidR="00BE6038">
        <w:rPr>
          <w:noProof/>
        </w:rPr>
        <w:t xml:space="preserve">Observation 1: </w:t>
      </w:r>
      <w:r w:rsidR="00BE6038" w:rsidRPr="00936035">
        <w:rPr>
          <w:noProof/>
          <w:lang w:val="en-GB"/>
        </w:rPr>
        <w:t>DCI-based CA/BWP activation/deactivation command provides shorter latency than the MAC CE-based activation/deactivation.</w:t>
      </w:r>
    </w:p>
    <w:p w14:paraId="63572407" w14:textId="3C741C9A" w:rsidR="002E19AD" w:rsidRDefault="009E3E19" w:rsidP="0053268B">
      <w:r>
        <w:fldChar w:fldCharType="end"/>
      </w:r>
    </w:p>
    <w:p w14:paraId="2CA3E5DA" w14:textId="7209EAD7" w:rsidR="00BE6038" w:rsidRDefault="00331915">
      <w:pPr>
        <w:pStyle w:val="TableofFigures"/>
        <w:tabs>
          <w:tab w:val="right" w:leader="dot" w:pos="9628"/>
        </w:tabs>
        <w:rPr>
          <w:noProof/>
          <w:lang w:val="en-GB"/>
        </w:rPr>
      </w:pPr>
      <w:r>
        <w:fldChar w:fldCharType="begin"/>
      </w:r>
      <w:r>
        <w:instrText xml:space="preserve"> TOC \n \c "Proposal" </w:instrText>
      </w:r>
      <w:r>
        <w:fldChar w:fldCharType="separate"/>
      </w:r>
      <w:r w:rsidR="00BE6038">
        <w:rPr>
          <w:noProof/>
        </w:rPr>
        <w:t xml:space="preserve">Proposal 1: </w:t>
      </w:r>
      <w:r w:rsidR="00BE6038" w:rsidRPr="00D171A6">
        <w:rPr>
          <w:noProof/>
          <w:lang w:val="en-GB"/>
        </w:rPr>
        <w:t>NR adopts a unified framework for configuration/activation/deactivation of CC and BWP.</w:t>
      </w:r>
    </w:p>
    <w:p w14:paraId="17BBCE7C" w14:textId="77777777" w:rsidR="00BE6038" w:rsidRPr="00F90CDA" w:rsidRDefault="00BE6038" w:rsidP="00BE6038">
      <w:pPr>
        <w:pStyle w:val="ListParagraph"/>
      </w:pPr>
      <w:r w:rsidRPr="00F90CDA">
        <w:t>For each CC, BWP(s) are configured via UE-specific RRC</w:t>
      </w:r>
    </w:p>
    <w:p w14:paraId="1AED1FF3" w14:textId="77777777" w:rsidR="00BE6038" w:rsidRPr="00F90CDA" w:rsidRDefault="00BE6038" w:rsidP="00BE6038">
      <w:pPr>
        <w:pStyle w:val="ListParagraph"/>
      </w:pPr>
      <w:r w:rsidRPr="00F90CDA">
        <w:t>L1 activation/deactivation of BWP via DCI followed by ACK</w:t>
      </w:r>
    </w:p>
    <w:p w14:paraId="15EF69E6" w14:textId="77777777" w:rsidR="00BE6038" w:rsidRPr="00F90CDA" w:rsidRDefault="00BE6038" w:rsidP="00BE6038">
      <w:pPr>
        <w:pStyle w:val="ListParagraph"/>
        <w:numPr>
          <w:ilvl w:val="1"/>
          <w:numId w:val="32"/>
        </w:numPr>
      </w:pPr>
      <w:r w:rsidRPr="00F90CDA">
        <w:t>Both DCI with grant and without grant is supported</w:t>
      </w:r>
    </w:p>
    <w:p w14:paraId="1CBE4E03" w14:textId="77777777" w:rsidR="00BE6038" w:rsidRPr="00F90CDA" w:rsidRDefault="00BE6038" w:rsidP="00BE6038">
      <w:pPr>
        <w:pStyle w:val="ListParagraph"/>
      </w:pPr>
      <w:r w:rsidRPr="00F90CDA">
        <w:t>No separate activation/deactivation of SCell in NR</w:t>
      </w:r>
    </w:p>
    <w:p w14:paraId="4BC37812" w14:textId="77777777" w:rsidR="00BE6038" w:rsidRPr="00F90CDA" w:rsidRDefault="00BE6038" w:rsidP="00BE6038">
      <w:pPr>
        <w:pStyle w:val="ListParagraph"/>
        <w:numPr>
          <w:ilvl w:val="1"/>
          <w:numId w:val="32"/>
        </w:numPr>
      </w:pPr>
      <w:r w:rsidRPr="00F90CDA">
        <w:t>If any BWP is activated in SCell, SCell is considered to be activated. If all the BWPs are deactivated, SCell is considered to be deactivated.</w:t>
      </w:r>
    </w:p>
    <w:p w14:paraId="1B336C00" w14:textId="77777777" w:rsidR="00BE6038" w:rsidRPr="00F90CDA" w:rsidRDefault="00BE6038" w:rsidP="00F90CDA">
      <w:pPr>
        <w:pStyle w:val="ListParagraph"/>
        <w:numPr>
          <w:ilvl w:val="1"/>
          <w:numId w:val="32"/>
        </w:numPr>
      </w:pPr>
      <w:r w:rsidRPr="00F90CDA">
        <w:t>Zero BWP is considered to map to the SCell deactivated state</w:t>
      </w:r>
    </w:p>
    <w:p w14:paraId="01832196" w14:textId="4E6BDE13" w:rsidR="00BE6038" w:rsidRPr="00F90CDA" w:rsidRDefault="00BE6038" w:rsidP="00F90CDA">
      <w:pPr>
        <w:pStyle w:val="ListParagraph"/>
      </w:pPr>
      <w:r w:rsidRPr="00092D01">
        <w:t>For cross-</w:t>
      </w:r>
      <w:r w:rsidRPr="00F90CDA">
        <w:t>carrier BWP activation (SCell activation), BWP activation without grant is used only (i.e., no cross-carrier BWP activation with a scheduling DCI with grant)</w:t>
      </w:r>
    </w:p>
    <w:p w14:paraId="26B59811"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2: Zero BWP is the default BWP for SCell for timer fallback.</w:t>
      </w:r>
    </w:p>
    <w:p w14:paraId="1F977CAD"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 xml:space="preserve">Proposal 3: </w:t>
      </w:r>
      <w:r w:rsidRPr="00D171A6">
        <w:rPr>
          <w:noProof/>
          <w:lang w:val="en-GB"/>
        </w:rPr>
        <w:t>Group SCell activation via group BWP DCI (without grant) should be supported in NR.</w:t>
      </w:r>
    </w:p>
    <w:p w14:paraId="1196AAAE"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 xml:space="preserve">Proposal 4: NR supports </w:t>
      </w:r>
      <w:r w:rsidRPr="00D171A6">
        <w:rPr>
          <w:noProof/>
          <w:lang w:val="en-GB"/>
        </w:rPr>
        <w:t>ACK feedback for successful decoding of the BWP DCI or the group BWP DCI. The dedicated BWP DCI should specify the UL control resources to be used for transmission of the ACK</w:t>
      </w:r>
    </w:p>
    <w:p w14:paraId="5C1E80AB"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 xml:space="preserve">Proposal 5: </w:t>
      </w:r>
      <w:r w:rsidRPr="00D171A6">
        <w:rPr>
          <w:noProof/>
          <w:lang w:val="en-GB"/>
        </w:rPr>
        <w:t>Improved CA/BWP activation/deactivation timeline should be considered for NR compared to LTE.</w:t>
      </w:r>
    </w:p>
    <w:p w14:paraId="193B0773"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6: Cross carrier slot-based scheduling is allowed toward equal or later slot only (defined by the beginning of the slot).</w:t>
      </w:r>
    </w:p>
    <w:p w14:paraId="08998CC4"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7: When a larger SCS schedules a smaller SCS for DL data, the overlapping slot is considered as K0=0.</w:t>
      </w:r>
    </w:p>
    <w:p w14:paraId="05B9E158"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8: When a smaller SCS schedules a larger SCS for DL data, K0=0 is defined for the slot whose beginning slot boundary is aligned with that of the slot containing PDCCH with DL grant.</w:t>
      </w:r>
    </w:p>
    <w:p w14:paraId="4706B1E7"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9: A separate DCI per grant is supported for cross carrier scheduling with mixed numerology. A joint grant is also supported for NR.</w:t>
      </w:r>
    </w:p>
    <w:p w14:paraId="66E3C8F3"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10: When a larger SCS schedules a smaller SCS for UL data, the overlapping slot is considered as K2=0.</w:t>
      </w:r>
    </w:p>
    <w:p w14:paraId="4BA110E8"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11: When a smaller SCS schedules a larger SCS for UL data, K2=0 is defined for the slot whose beginning slot boundary is aligned with that of the slot containing PDCCH with UL grant.</w:t>
      </w:r>
    </w:p>
    <w:p w14:paraId="7D126D11"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12: When A/N is transmitted on a carrier with a smaller SCS, the overlapping slot is considered as K1=0.</w:t>
      </w:r>
    </w:p>
    <w:p w14:paraId="46EF2EBE"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13: When A/N is transmitted on a carrier with a larger SCS, K1=0 is defined for the slot whose ending slot boundary is aligned with that of the slot containing PDSCH.</w:t>
      </w:r>
    </w:p>
    <w:p w14:paraId="60E11BBE"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14: NR supports cross carrier group common PDCCH.</w:t>
      </w:r>
    </w:p>
    <w:p w14:paraId="36F2375E"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15: NR supports a single power control group corresponding to a group of the same numerology per band.</w:t>
      </w:r>
    </w:p>
    <w:p w14:paraId="0542E7D8" w14:textId="77777777" w:rsidR="00BE6038" w:rsidRDefault="00BE6038">
      <w:pPr>
        <w:pStyle w:val="TableofFigures"/>
        <w:tabs>
          <w:tab w:val="right" w:leader="dot" w:pos="9628"/>
        </w:tabs>
        <w:rPr>
          <w:rFonts w:asciiTheme="minorHAnsi" w:eastAsiaTheme="minorEastAsia" w:hAnsiTheme="minorHAnsi" w:cstheme="minorBidi"/>
          <w:noProof/>
          <w:sz w:val="22"/>
          <w:szCs w:val="22"/>
        </w:rPr>
      </w:pPr>
      <w:r>
        <w:rPr>
          <w:noProof/>
        </w:rPr>
        <w:t>Proposal 16:</w:t>
      </w:r>
    </w:p>
    <w:p w14:paraId="00147263" w14:textId="670DBB9A" w:rsidR="0053268B" w:rsidRPr="0053268B" w:rsidRDefault="00331915" w:rsidP="0053268B">
      <w:pPr>
        <w:pStyle w:val="Caption"/>
        <w:numPr>
          <w:ilvl w:val="0"/>
          <w:numId w:val="36"/>
        </w:numPr>
        <w:rPr>
          <w:b w:val="0"/>
        </w:rPr>
      </w:pPr>
      <w:r>
        <w:fldChar w:fldCharType="end"/>
      </w:r>
      <w:r w:rsidR="0053268B" w:rsidRPr="0053268B">
        <w:rPr>
          <w:b w:val="0"/>
        </w:rPr>
        <w:t xml:space="preserve">For Rel-15 phase 1 (Dec 2017), introduce the support of cross carrier DCI/UCI/CSI/UL TA within a group of the same numerology. </w:t>
      </w:r>
    </w:p>
    <w:p w14:paraId="2B7500B4" w14:textId="77777777" w:rsidR="0053268B" w:rsidRPr="0053268B" w:rsidRDefault="0053268B" w:rsidP="0053268B">
      <w:pPr>
        <w:pStyle w:val="Caption"/>
        <w:numPr>
          <w:ilvl w:val="0"/>
          <w:numId w:val="36"/>
        </w:numPr>
        <w:rPr>
          <w:b w:val="0"/>
        </w:rPr>
      </w:pPr>
      <w:r w:rsidRPr="0053268B">
        <w:rPr>
          <w:b w:val="0"/>
        </w:rPr>
        <w:t>For Rel-15 phase 2 (June 2018), introduce the support of cross carrier DCI/UCI/CSI between mixed numerology.</w:t>
      </w:r>
    </w:p>
    <w:p w14:paraId="6E77FD34" w14:textId="7E6F7B11" w:rsidR="007B645F" w:rsidRPr="003E5DD3" w:rsidRDefault="007B645F" w:rsidP="0053268B"/>
    <w:p w14:paraId="730A85A5" w14:textId="5E40348E" w:rsidR="00C1473E" w:rsidRDefault="00BA6230" w:rsidP="00395DB2">
      <w:pPr>
        <w:pStyle w:val="Heading1"/>
      </w:pPr>
      <w:r>
        <w:t>References</w:t>
      </w:r>
    </w:p>
    <w:p w14:paraId="602D1FB9" w14:textId="3EA9505D" w:rsidR="00BA6230" w:rsidRPr="00F90CDA" w:rsidRDefault="00FC2F53" w:rsidP="00F90CDA">
      <w:pPr>
        <w:pStyle w:val="ListParagraph"/>
        <w:numPr>
          <w:ilvl w:val="0"/>
          <w:numId w:val="37"/>
        </w:numPr>
      </w:pPr>
      <w:r w:rsidRPr="00FC2F53" w:rsidDel="00260669">
        <w:t xml:space="preserve"> </w:t>
      </w:r>
      <w:r w:rsidR="00E744BD" w:rsidRPr="00FC2F53">
        <w:t xml:space="preserve">3GPP </w:t>
      </w:r>
      <w:r w:rsidR="00BA6230" w:rsidRPr="00092D01">
        <w:t>TS 36.133,</w:t>
      </w:r>
      <w:r w:rsidR="00E744BD" w:rsidRPr="00F90CDA">
        <w:t xml:space="preserve"> </w:t>
      </w:r>
      <w:r w:rsidR="00E744BD" w:rsidRPr="00F90CDA">
        <w:rPr>
          <w:rFonts w:cs="v4.2.0"/>
        </w:rPr>
        <w:t>Requirements for support of radio resource management.</w:t>
      </w:r>
    </w:p>
    <w:p w14:paraId="13FAAD42" w14:textId="51483A33" w:rsidR="00BA6230" w:rsidRDefault="00E744BD" w:rsidP="00F90CDA">
      <w:pPr>
        <w:pStyle w:val="ListParagraph"/>
        <w:numPr>
          <w:ilvl w:val="0"/>
          <w:numId w:val="37"/>
        </w:numPr>
      </w:pPr>
      <w:bookmarkStart w:id="144" w:name="_Ref494735489"/>
      <w:r w:rsidRPr="00F90CDA">
        <w:t xml:space="preserve">R1-1716409, </w:t>
      </w:r>
      <w:r w:rsidR="0024514D" w:rsidRPr="00F90CDA">
        <w:t>“</w:t>
      </w:r>
      <w:r w:rsidRPr="00F90CDA">
        <w:t>Remaining open issues on TRS</w:t>
      </w:r>
      <w:r w:rsidR="0024514D" w:rsidRPr="00F90CDA">
        <w:t>"</w:t>
      </w:r>
      <w:r w:rsidRPr="00F90CDA">
        <w:t>, Qualcomm Incorporated</w:t>
      </w:r>
      <w:r w:rsidRPr="00FC2F53">
        <w:t>.</w:t>
      </w:r>
      <w:bookmarkEnd w:id="144"/>
    </w:p>
    <w:p w14:paraId="566862DF" w14:textId="77777777" w:rsidR="00FC2F53" w:rsidRDefault="00FC2F53" w:rsidP="00FC2F53">
      <w:pPr>
        <w:pStyle w:val="ListParagraph"/>
        <w:numPr>
          <w:ilvl w:val="0"/>
          <w:numId w:val="37"/>
        </w:numPr>
      </w:pPr>
      <w:bookmarkStart w:id="145" w:name="_Ref494735002"/>
      <w:bookmarkStart w:id="146" w:name="_Ref494300936"/>
      <w:bookmarkStart w:id="147" w:name="_Ref494542387"/>
      <w:r w:rsidRPr="00FC2F53">
        <w:t>R1-1610135, "Evaluation of Frame Structure Design for UE Power", RAN1#86bis, Qualcomm</w:t>
      </w:r>
      <w:bookmarkEnd w:id="145"/>
    </w:p>
    <w:p w14:paraId="791719A5" w14:textId="00D2825E" w:rsidR="00260669" w:rsidRPr="00092D01" w:rsidRDefault="00260669" w:rsidP="00F90CDA">
      <w:pPr>
        <w:pStyle w:val="ListParagraph"/>
        <w:numPr>
          <w:ilvl w:val="0"/>
          <w:numId w:val="37"/>
        </w:numPr>
      </w:pPr>
      <w:r w:rsidRPr="00260669">
        <w:rPr>
          <w:lang w:val="en-US"/>
        </w:rPr>
        <w:t>Chairman’s Notes</w:t>
      </w:r>
      <w:r w:rsidRPr="00260669">
        <w:rPr>
          <w:lang w:val="en-US"/>
        </w:rPr>
        <w:tab/>
        <w:t>3GPP TSG RAN WG1 NR Ad-Hoc #3</w:t>
      </w:r>
      <w:bookmarkEnd w:id="146"/>
      <w:r w:rsidRPr="00260669">
        <w:rPr>
          <w:lang w:val="en-US"/>
        </w:rPr>
        <w:t>, 2017</w:t>
      </w:r>
      <w:bookmarkEnd w:id="147"/>
    </w:p>
    <w:p w14:paraId="26E01070" w14:textId="71BA46C5" w:rsidR="00BE6038" w:rsidRDefault="00BE6038" w:rsidP="00F90CDA">
      <w:pPr>
        <w:pStyle w:val="ListParagraph"/>
        <w:numPr>
          <w:ilvl w:val="0"/>
          <w:numId w:val="37"/>
        </w:numPr>
      </w:pPr>
      <w:bookmarkStart w:id="148" w:name="_Ref494746235"/>
      <w:r w:rsidRPr="00BE6038">
        <w:t>R1-1718580</w:t>
      </w:r>
      <w:r>
        <w:t>, “</w:t>
      </w:r>
      <w:r w:rsidRPr="00BE6038">
        <w:t>Open Issues on BWP</w:t>
      </w:r>
      <w:r>
        <w:t>”, RAN1#90bis, Qualcomm</w:t>
      </w:r>
      <w:bookmarkEnd w:id="148"/>
    </w:p>
    <w:p w14:paraId="1239F186" w14:textId="2AAA4BDA" w:rsidR="002F3C04" w:rsidRPr="00260669" w:rsidRDefault="002F3C04" w:rsidP="00F90CDA">
      <w:pPr>
        <w:pStyle w:val="ListParagraph"/>
        <w:numPr>
          <w:ilvl w:val="0"/>
          <w:numId w:val="37"/>
        </w:numPr>
      </w:pPr>
      <w:bookmarkStart w:id="149" w:name="_Ref494746569"/>
      <w:r>
        <w:t>R4-</w:t>
      </w:r>
      <w:r w:rsidRPr="002F3C04">
        <w:t>1710173</w:t>
      </w:r>
      <w:r>
        <w:t>, “</w:t>
      </w:r>
      <w:r w:rsidRPr="002F3C04">
        <w:t>Wideband and CA Operation for NR</w:t>
      </w:r>
      <w:r>
        <w:t>”, RAN#84</w:t>
      </w:r>
      <w:r w:rsidRPr="002F3C04">
        <w:t>Bis</w:t>
      </w:r>
      <w:r>
        <w:t>, Qualcomm</w:t>
      </w:r>
      <w:bookmarkEnd w:id="149"/>
    </w:p>
    <w:sectPr w:rsidR="002F3C04" w:rsidRPr="00260669" w:rsidSect="008331BB">
      <w:headerReference w:type="even" r:id="rId30"/>
      <w:footerReference w:type="even" r:id="rId31"/>
      <w:footerReference w:type="default" r:id="rId32"/>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F2FC75" w14:textId="77777777" w:rsidR="002D547D" w:rsidRDefault="002D547D">
      <w:r>
        <w:separator/>
      </w:r>
    </w:p>
  </w:endnote>
  <w:endnote w:type="continuationSeparator" w:id="0">
    <w:p w14:paraId="749A769A" w14:textId="77777777" w:rsidR="002D547D" w:rsidRDefault="002D547D">
      <w:r>
        <w:continuationSeparator/>
      </w:r>
    </w:p>
  </w:endnote>
  <w:endnote w:type="continuationNotice" w:id="1">
    <w:p w14:paraId="73482503" w14:textId="77777777" w:rsidR="002D547D" w:rsidRDefault="002D54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D22ECC" w:rsidRDefault="00D22EC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D22ECC" w:rsidRDefault="00D22EC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55FAF83A" w:rsidR="00D22ECC" w:rsidRDefault="00D22EC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F1CE5">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F1CE5">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581AD1" w14:textId="77777777" w:rsidR="002D547D" w:rsidRDefault="002D547D">
      <w:r>
        <w:separator/>
      </w:r>
    </w:p>
  </w:footnote>
  <w:footnote w:type="continuationSeparator" w:id="0">
    <w:p w14:paraId="1181643E" w14:textId="77777777" w:rsidR="002D547D" w:rsidRDefault="002D547D">
      <w:r>
        <w:continuationSeparator/>
      </w:r>
    </w:p>
  </w:footnote>
  <w:footnote w:type="continuationNotice" w:id="1">
    <w:p w14:paraId="15C52BB6" w14:textId="77777777" w:rsidR="002D547D" w:rsidRDefault="002D54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D22ECC" w:rsidRDefault="00D22EC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16.4pt;height:16.4pt" o:bullet="t">
        <v:imagedata r:id="rId1" o:title="art4585"/>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20073D"/>
    <w:multiLevelType w:val="hybridMultilevel"/>
    <w:tmpl w:val="CFBA95E8"/>
    <w:lvl w:ilvl="0" w:tplc="4D562A80">
      <w:start w:val="1"/>
      <w:numFmt w:val="bullet"/>
      <w:lvlText w:val="•"/>
      <w:lvlJc w:val="left"/>
      <w:pPr>
        <w:tabs>
          <w:tab w:val="num" w:pos="360"/>
        </w:tabs>
        <w:ind w:left="360" w:hanging="360"/>
      </w:pPr>
      <w:rPr>
        <w:rFonts w:ascii="Arial" w:hAnsi="Arial" w:hint="default"/>
      </w:rPr>
    </w:lvl>
    <w:lvl w:ilvl="1" w:tplc="F78EB670">
      <w:start w:val="2960"/>
      <w:numFmt w:val="bullet"/>
      <w:lvlText w:val="–"/>
      <w:lvlJc w:val="left"/>
      <w:pPr>
        <w:tabs>
          <w:tab w:val="num" w:pos="1080"/>
        </w:tabs>
        <w:ind w:left="1080" w:hanging="360"/>
      </w:pPr>
      <w:rPr>
        <w:rFonts w:ascii="Arial" w:hAnsi="Arial" w:hint="default"/>
      </w:rPr>
    </w:lvl>
    <w:lvl w:ilvl="2" w:tplc="57E6983E" w:tentative="1">
      <w:start w:val="1"/>
      <w:numFmt w:val="bullet"/>
      <w:lvlText w:val="•"/>
      <w:lvlJc w:val="left"/>
      <w:pPr>
        <w:tabs>
          <w:tab w:val="num" w:pos="1800"/>
        </w:tabs>
        <w:ind w:left="1800" w:hanging="360"/>
      </w:pPr>
      <w:rPr>
        <w:rFonts w:ascii="Arial" w:hAnsi="Arial" w:hint="default"/>
      </w:rPr>
    </w:lvl>
    <w:lvl w:ilvl="3" w:tplc="273ED4AC" w:tentative="1">
      <w:start w:val="1"/>
      <w:numFmt w:val="bullet"/>
      <w:lvlText w:val="•"/>
      <w:lvlJc w:val="left"/>
      <w:pPr>
        <w:tabs>
          <w:tab w:val="num" w:pos="2520"/>
        </w:tabs>
        <w:ind w:left="2520" w:hanging="360"/>
      </w:pPr>
      <w:rPr>
        <w:rFonts w:ascii="Arial" w:hAnsi="Arial" w:hint="default"/>
      </w:rPr>
    </w:lvl>
    <w:lvl w:ilvl="4" w:tplc="792894BC" w:tentative="1">
      <w:start w:val="1"/>
      <w:numFmt w:val="bullet"/>
      <w:lvlText w:val="•"/>
      <w:lvlJc w:val="left"/>
      <w:pPr>
        <w:tabs>
          <w:tab w:val="num" w:pos="3240"/>
        </w:tabs>
        <w:ind w:left="3240" w:hanging="360"/>
      </w:pPr>
      <w:rPr>
        <w:rFonts w:ascii="Arial" w:hAnsi="Arial" w:hint="default"/>
      </w:rPr>
    </w:lvl>
    <w:lvl w:ilvl="5" w:tplc="6CCE9C70" w:tentative="1">
      <w:start w:val="1"/>
      <w:numFmt w:val="bullet"/>
      <w:lvlText w:val="•"/>
      <w:lvlJc w:val="left"/>
      <w:pPr>
        <w:tabs>
          <w:tab w:val="num" w:pos="3960"/>
        </w:tabs>
        <w:ind w:left="3960" w:hanging="360"/>
      </w:pPr>
      <w:rPr>
        <w:rFonts w:ascii="Arial" w:hAnsi="Arial" w:hint="default"/>
      </w:rPr>
    </w:lvl>
    <w:lvl w:ilvl="6" w:tplc="F7169D32" w:tentative="1">
      <w:start w:val="1"/>
      <w:numFmt w:val="bullet"/>
      <w:lvlText w:val="•"/>
      <w:lvlJc w:val="left"/>
      <w:pPr>
        <w:tabs>
          <w:tab w:val="num" w:pos="4680"/>
        </w:tabs>
        <w:ind w:left="4680" w:hanging="360"/>
      </w:pPr>
      <w:rPr>
        <w:rFonts w:ascii="Arial" w:hAnsi="Arial" w:hint="default"/>
      </w:rPr>
    </w:lvl>
    <w:lvl w:ilvl="7" w:tplc="00D4349E" w:tentative="1">
      <w:start w:val="1"/>
      <w:numFmt w:val="bullet"/>
      <w:lvlText w:val="•"/>
      <w:lvlJc w:val="left"/>
      <w:pPr>
        <w:tabs>
          <w:tab w:val="num" w:pos="5400"/>
        </w:tabs>
        <w:ind w:left="5400" w:hanging="360"/>
      </w:pPr>
      <w:rPr>
        <w:rFonts w:ascii="Arial" w:hAnsi="Arial" w:hint="default"/>
      </w:rPr>
    </w:lvl>
    <w:lvl w:ilvl="8" w:tplc="20A22904"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84511D"/>
    <w:multiLevelType w:val="hybridMultilevel"/>
    <w:tmpl w:val="04DE1272"/>
    <w:lvl w:ilvl="0" w:tplc="F6EA07FC">
      <w:start w:val="1"/>
      <w:numFmt w:val="bullet"/>
      <w:lvlText w:val="•"/>
      <w:lvlJc w:val="left"/>
      <w:pPr>
        <w:tabs>
          <w:tab w:val="num" w:pos="720"/>
        </w:tabs>
        <w:ind w:left="720" w:hanging="360"/>
      </w:pPr>
      <w:rPr>
        <w:rFonts w:ascii="Arial" w:hAnsi="Arial" w:hint="default"/>
      </w:rPr>
    </w:lvl>
    <w:lvl w:ilvl="1" w:tplc="CF5212F8">
      <w:numFmt w:val="bullet"/>
      <w:lvlText w:val="•"/>
      <w:lvlJc w:val="left"/>
      <w:pPr>
        <w:tabs>
          <w:tab w:val="num" w:pos="1440"/>
        </w:tabs>
        <w:ind w:left="1440" w:hanging="360"/>
      </w:pPr>
      <w:rPr>
        <w:rFonts w:ascii="Arial" w:hAnsi="Arial" w:hint="default"/>
      </w:rPr>
    </w:lvl>
    <w:lvl w:ilvl="2" w:tplc="1B2857B6">
      <w:numFmt w:val="bullet"/>
      <w:lvlText w:val="•"/>
      <w:lvlJc w:val="left"/>
      <w:pPr>
        <w:tabs>
          <w:tab w:val="num" w:pos="2160"/>
        </w:tabs>
        <w:ind w:left="2160" w:hanging="360"/>
      </w:pPr>
      <w:rPr>
        <w:rFonts w:ascii="Arial" w:hAnsi="Arial" w:hint="default"/>
      </w:rPr>
    </w:lvl>
    <w:lvl w:ilvl="3" w:tplc="5CF0C03E" w:tentative="1">
      <w:start w:val="1"/>
      <w:numFmt w:val="bullet"/>
      <w:lvlText w:val="•"/>
      <w:lvlJc w:val="left"/>
      <w:pPr>
        <w:tabs>
          <w:tab w:val="num" w:pos="2880"/>
        </w:tabs>
        <w:ind w:left="2880" w:hanging="360"/>
      </w:pPr>
      <w:rPr>
        <w:rFonts w:ascii="Arial" w:hAnsi="Arial" w:hint="default"/>
      </w:rPr>
    </w:lvl>
    <w:lvl w:ilvl="4" w:tplc="C35E81EA" w:tentative="1">
      <w:start w:val="1"/>
      <w:numFmt w:val="bullet"/>
      <w:lvlText w:val="•"/>
      <w:lvlJc w:val="left"/>
      <w:pPr>
        <w:tabs>
          <w:tab w:val="num" w:pos="3600"/>
        </w:tabs>
        <w:ind w:left="3600" w:hanging="360"/>
      </w:pPr>
      <w:rPr>
        <w:rFonts w:ascii="Arial" w:hAnsi="Arial" w:hint="default"/>
      </w:rPr>
    </w:lvl>
    <w:lvl w:ilvl="5" w:tplc="93780012" w:tentative="1">
      <w:start w:val="1"/>
      <w:numFmt w:val="bullet"/>
      <w:lvlText w:val="•"/>
      <w:lvlJc w:val="left"/>
      <w:pPr>
        <w:tabs>
          <w:tab w:val="num" w:pos="4320"/>
        </w:tabs>
        <w:ind w:left="4320" w:hanging="360"/>
      </w:pPr>
      <w:rPr>
        <w:rFonts w:ascii="Arial" w:hAnsi="Arial" w:hint="default"/>
      </w:rPr>
    </w:lvl>
    <w:lvl w:ilvl="6" w:tplc="F7FC3CA2" w:tentative="1">
      <w:start w:val="1"/>
      <w:numFmt w:val="bullet"/>
      <w:lvlText w:val="•"/>
      <w:lvlJc w:val="left"/>
      <w:pPr>
        <w:tabs>
          <w:tab w:val="num" w:pos="5040"/>
        </w:tabs>
        <w:ind w:left="5040" w:hanging="360"/>
      </w:pPr>
      <w:rPr>
        <w:rFonts w:ascii="Arial" w:hAnsi="Arial" w:hint="default"/>
      </w:rPr>
    </w:lvl>
    <w:lvl w:ilvl="7" w:tplc="7E924964" w:tentative="1">
      <w:start w:val="1"/>
      <w:numFmt w:val="bullet"/>
      <w:lvlText w:val="•"/>
      <w:lvlJc w:val="left"/>
      <w:pPr>
        <w:tabs>
          <w:tab w:val="num" w:pos="5760"/>
        </w:tabs>
        <w:ind w:left="5760" w:hanging="360"/>
      </w:pPr>
      <w:rPr>
        <w:rFonts w:ascii="Arial" w:hAnsi="Arial" w:hint="default"/>
      </w:rPr>
    </w:lvl>
    <w:lvl w:ilvl="8" w:tplc="D7CAD92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6D177E"/>
    <w:multiLevelType w:val="hybridMultilevel"/>
    <w:tmpl w:val="C7E415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0472AD"/>
    <w:multiLevelType w:val="hybridMultilevel"/>
    <w:tmpl w:val="55FAD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2585BDE"/>
    <w:multiLevelType w:val="hybridMultilevel"/>
    <w:tmpl w:val="14F08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4117E61"/>
    <w:multiLevelType w:val="hybridMultilevel"/>
    <w:tmpl w:val="375E60FC"/>
    <w:lvl w:ilvl="0" w:tplc="226E3606">
      <w:start w:val="1"/>
      <w:numFmt w:val="bullet"/>
      <w:lvlText w:val="•"/>
      <w:lvlJc w:val="left"/>
      <w:pPr>
        <w:tabs>
          <w:tab w:val="num" w:pos="720"/>
        </w:tabs>
        <w:ind w:left="720" w:hanging="360"/>
      </w:pPr>
      <w:rPr>
        <w:rFonts w:ascii="Arial" w:hAnsi="Arial" w:hint="default"/>
      </w:rPr>
    </w:lvl>
    <w:lvl w:ilvl="1" w:tplc="00FACF90">
      <w:numFmt w:val="bullet"/>
      <w:lvlText w:val="•"/>
      <w:lvlJc w:val="left"/>
      <w:pPr>
        <w:tabs>
          <w:tab w:val="num" w:pos="1440"/>
        </w:tabs>
        <w:ind w:left="1440" w:hanging="360"/>
      </w:pPr>
      <w:rPr>
        <w:rFonts w:ascii="Arial" w:hAnsi="Arial" w:hint="default"/>
      </w:rPr>
    </w:lvl>
    <w:lvl w:ilvl="2" w:tplc="7E0E6DDA">
      <w:numFmt w:val="bullet"/>
      <w:lvlText w:val="•"/>
      <w:lvlJc w:val="left"/>
      <w:pPr>
        <w:tabs>
          <w:tab w:val="num" w:pos="2160"/>
        </w:tabs>
        <w:ind w:left="2160" w:hanging="360"/>
      </w:pPr>
      <w:rPr>
        <w:rFonts w:ascii="Arial" w:hAnsi="Arial" w:hint="default"/>
      </w:rPr>
    </w:lvl>
    <w:lvl w:ilvl="3" w:tplc="A46C6A0E">
      <w:numFmt w:val="bullet"/>
      <w:lvlText w:val="•"/>
      <w:lvlJc w:val="left"/>
      <w:pPr>
        <w:tabs>
          <w:tab w:val="num" w:pos="2880"/>
        </w:tabs>
        <w:ind w:left="2880" w:hanging="360"/>
      </w:pPr>
      <w:rPr>
        <w:rFonts w:ascii="Arial" w:hAnsi="Arial" w:hint="default"/>
      </w:rPr>
    </w:lvl>
    <w:lvl w:ilvl="4" w:tplc="0B86714C" w:tentative="1">
      <w:start w:val="1"/>
      <w:numFmt w:val="bullet"/>
      <w:lvlText w:val="•"/>
      <w:lvlJc w:val="left"/>
      <w:pPr>
        <w:tabs>
          <w:tab w:val="num" w:pos="3600"/>
        </w:tabs>
        <w:ind w:left="3600" w:hanging="360"/>
      </w:pPr>
      <w:rPr>
        <w:rFonts w:ascii="Arial" w:hAnsi="Arial" w:hint="default"/>
      </w:rPr>
    </w:lvl>
    <w:lvl w:ilvl="5" w:tplc="DDB4BECA" w:tentative="1">
      <w:start w:val="1"/>
      <w:numFmt w:val="bullet"/>
      <w:lvlText w:val="•"/>
      <w:lvlJc w:val="left"/>
      <w:pPr>
        <w:tabs>
          <w:tab w:val="num" w:pos="4320"/>
        </w:tabs>
        <w:ind w:left="4320" w:hanging="360"/>
      </w:pPr>
      <w:rPr>
        <w:rFonts w:ascii="Arial" w:hAnsi="Arial" w:hint="default"/>
      </w:rPr>
    </w:lvl>
    <w:lvl w:ilvl="6" w:tplc="F4949912" w:tentative="1">
      <w:start w:val="1"/>
      <w:numFmt w:val="bullet"/>
      <w:lvlText w:val="•"/>
      <w:lvlJc w:val="left"/>
      <w:pPr>
        <w:tabs>
          <w:tab w:val="num" w:pos="5040"/>
        </w:tabs>
        <w:ind w:left="5040" w:hanging="360"/>
      </w:pPr>
      <w:rPr>
        <w:rFonts w:ascii="Arial" w:hAnsi="Arial" w:hint="default"/>
      </w:rPr>
    </w:lvl>
    <w:lvl w:ilvl="7" w:tplc="EF6E116E" w:tentative="1">
      <w:start w:val="1"/>
      <w:numFmt w:val="bullet"/>
      <w:lvlText w:val="•"/>
      <w:lvlJc w:val="left"/>
      <w:pPr>
        <w:tabs>
          <w:tab w:val="num" w:pos="5760"/>
        </w:tabs>
        <w:ind w:left="5760" w:hanging="360"/>
      </w:pPr>
      <w:rPr>
        <w:rFonts w:ascii="Arial" w:hAnsi="Arial" w:hint="default"/>
      </w:rPr>
    </w:lvl>
    <w:lvl w:ilvl="8" w:tplc="F8A217C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5423E3D"/>
    <w:multiLevelType w:val="hybridMultilevel"/>
    <w:tmpl w:val="D278C9E2"/>
    <w:lvl w:ilvl="0" w:tplc="9D8A6048">
      <w:start w:val="1"/>
      <w:numFmt w:val="bullet"/>
      <w:lvlText w:val="•"/>
      <w:lvlJc w:val="left"/>
      <w:pPr>
        <w:tabs>
          <w:tab w:val="num" w:pos="720"/>
        </w:tabs>
        <w:ind w:left="720" w:hanging="360"/>
      </w:pPr>
      <w:rPr>
        <w:rFonts w:ascii="Arial" w:hAnsi="Arial" w:hint="default"/>
      </w:rPr>
    </w:lvl>
    <w:lvl w:ilvl="1" w:tplc="37B811AE">
      <w:numFmt w:val="bullet"/>
      <w:lvlText w:val="–"/>
      <w:lvlJc w:val="left"/>
      <w:pPr>
        <w:tabs>
          <w:tab w:val="num" w:pos="1440"/>
        </w:tabs>
        <w:ind w:left="1440" w:hanging="360"/>
      </w:pPr>
      <w:rPr>
        <w:rFonts w:ascii="Arial" w:hAnsi="Arial" w:hint="default"/>
      </w:rPr>
    </w:lvl>
    <w:lvl w:ilvl="2" w:tplc="B740C4E6">
      <w:start w:val="1"/>
      <w:numFmt w:val="bullet"/>
      <w:lvlText w:val="•"/>
      <w:lvlJc w:val="left"/>
      <w:pPr>
        <w:tabs>
          <w:tab w:val="num" w:pos="2160"/>
        </w:tabs>
        <w:ind w:left="2160" w:hanging="360"/>
      </w:pPr>
      <w:rPr>
        <w:rFonts w:ascii="Arial" w:hAnsi="Arial" w:hint="default"/>
      </w:rPr>
    </w:lvl>
    <w:lvl w:ilvl="3" w:tplc="5B7AD4C4" w:tentative="1">
      <w:start w:val="1"/>
      <w:numFmt w:val="bullet"/>
      <w:lvlText w:val="•"/>
      <w:lvlJc w:val="left"/>
      <w:pPr>
        <w:tabs>
          <w:tab w:val="num" w:pos="2880"/>
        </w:tabs>
        <w:ind w:left="2880" w:hanging="360"/>
      </w:pPr>
      <w:rPr>
        <w:rFonts w:ascii="Arial" w:hAnsi="Arial" w:hint="default"/>
      </w:rPr>
    </w:lvl>
    <w:lvl w:ilvl="4" w:tplc="113467A2" w:tentative="1">
      <w:start w:val="1"/>
      <w:numFmt w:val="bullet"/>
      <w:lvlText w:val="•"/>
      <w:lvlJc w:val="left"/>
      <w:pPr>
        <w:tabs>
          <w:tab w:val="num" w:pos="3600"/>
        </w:tabs>
        <w:ind w:left="3600" w:hanging="360"/>
      </w:pPr>
      <w:rPr>
        <w:rFonts w:ascii="Arial" w:hAnsi="Arial" w:hint="default"/>
      </w:rPr>
    </w:lvl>
    <w:lvl w:ilvl="5" w:tplc="453EB7A8" w:tentative="1">
      <w:start w:val="1"/>
      <w:numFmt w:val="bullet"/>
      <w:lvlText w:val="•"/>
      <w:lvlJc w:val="left"/>
      <w:pPr>
        <w:tabs>
          <w:tab w:val="num" w:pos="4320"/>
        </w:tabs>
        <w:ind w:left="4320" w:hanging="360"/>
      </w:pPr>
      <w:rPr>
        <w:rFonts w:ascii="Arial" w:hAnsi="Arial" w:hint="default"/>
      </w:rPr>
    </w:lvl>
    <w:lvl w:ilvl="6" w:tplc="36246832" w:tentative="1">
      <w:start w:val="1"/>
      <w:numFmt w:val="bullet"/>
      <w:lvlText w:val="•"/>
      <w:lvlJc w:val="left"/>
      <w:pPr>
        <w:tabs>
          <w:tab w:val="num" w:pos="5040"/>
        </w:tabs>
        <w:ind w:left="5040" w:hanging="360"/>
      </w:pPr>
      <w:rPr>
        <w:rFonts w:ascii="Arial" w:hAnsi="Arial" w:hint="default"/>
      </w:rPr>
    </w:lvl>
    <w:lvl w:ilvl="7" w:tplc="A02AD27C" w:tentative="1">
      <w:start w:val="1"/>
      <w:numFmt w:val="bullet"/>
      <w:lvlText w:val="•"/>
      <w:lvlJc w:val="left"/>
      <w:pPr>
        <w:tabs>
          <w:tab w:val="num" w:pos="5760"/>
        </w:tabs>
        <w:ind w:left="5760" w:hanging="360"/>
      </w:pPr>
      <w:rPr>
        <w:rFonts w:ascii="Arial" w:hAnsi="Arial" w:hint="default"/>
      </w:rPr>
    </w:lvl>
    <w:lvl w:ilvl="8" w:tplc="8CC296C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E34E96"/>
    <w:multiLevelType w:val="hybridMultilevel"/>
    <w:tmpl w:val="1B32C5A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BF127DC"/>
    <w:multiLevelType w:val="hybridMultilevel"/>
    <w:tmpl w:val="CEE49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15101B"/>
    <w:multiLevelType w:val="hybridMultilevel"/>
    <w:tmpl w:val="341EACFA"/>
    <w:lvl w:ilvl="0" w:tplc="A634B9E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D5302F"/>
    <w:multiLevelType w:val="hybridMultilevel"/>
    <w:tmpl w:val="53C29F32"/>
    <w:lvl w:ilvl="0" w:tplc="BEDCA22A">
      <w:start w:val="1"/>
      <w:numFmt w:val="bullet"/>
      <w:lvlText w:val="•"/>
      <w:lvlJc w:val="left"/>
      <w:pPr>
        <w:tabs>
          <w:tab w:val="num" w:pos="360"/>
        </w:tabs>
        <w:ind w:left="360" w:hanging="360"/>
      </w:pPr>
      <w:rPr>
        <w:rFonts w:ascii="Arial" w:hAnsi="Arial" w:hint="default"/>
      </w:rPr>
    </w:lvl>
    <w:lvl w:ilvl="1" w:tplc="D72E7896">
      <w:numFmt w:val="bullet"/>
      <w:lvlText w:val="–"/>
      <w:lvlJc w:val="left"/>
      <w:pPr>
        <w:tabs>
          <w:tab w:val="num" w:pos="1080"/>
        </w:tabs>
        <w:ind w:left="1080" w:hanging="360"/>
      </w:pPr>
      <w:rPr>
        <w:rFonts w:ascii="Arial" w:hAnsi="Arial" w:hint="default"/>
      </w:rPr>
    </w:lvl>
    <w:lvl w:ilvl="2" w:tplc="99FABAC0">
      <w:start w:val="1"/>
      <w:numFmt w:val="bullet"/>
      <w:lvlText w:val="•"/>
      <w:lvlJc w:val="left"/>
      <w:pPr>
        <w:tabs>
          <w:tab w:val="num" w:pos="1800"/>
        </w:tabs>
        <w:ind w:left="1800" w:hanging="360"/>
      </w:pPr>
      <w:rPr>
        <w:rFonts w:ascii="Arial" w:hAnsi="Arial" w:hint="default"/>
      </w:rPr>
    </w:lvl>
    <w:lvl w:ilvl="3" w:tplc="EA0664EC" w:tentative="1">
      <w:start w:val="1"/>
      <w:numFmt w:val="bullet"/>
      <w:lvlText w:val="•"/>
      <w:lvlJc w:val="left"/>
      <w:pPr>
        <w:tabs>
          <w:tab w:val="num" w:pos="2520"/>
        </w:tabs>
        <w:ind w:left="2520" w:hanging="360"/>
      </w:pPr>
      <w:rPr>
        <w:rFonts w:ascii="Arial" w:hAnsi="Arial" w:hint="default"/>
      </w:rPr>
    </w:lvl>
    <w:lvl w:ilvl="4" w:tplc="0CBCF4B8" w:tentative="1">
      <w:start w:val="1"/>
      <w:numFmt w:val="bullet"/>
      <w:lvlText w:val="•"/>
      <w:lvlJc w:val="left"/>
      <w:pPr>
        <w:tabs>
          <w:tab w:val="num" w:pos="3240"/>
        </w:tabs>
        <w:ind w:left="3240" w:hanging="360"/>
      </w:pPr>
      <w:rPr>
        <w:rFonts w:ascii="Arial" w:hAnsi="Arial" w:hint="default"/>
      </w:rPr>
    </w:lvl>
    <w:lvl w:ilvl="5" w:tplc="BACEFE74" w:tentative="1">
      <w:start w:val="1"/>
      <w:numFmt w:val="bullet"/>
      <w:lvlText w:val="•"/>
      <w:lvlJc w:val="left"/>
      <w:pPr>
        <w:tabs>
          <w:tab w:val="num" w:pos="3960"/>
        </w:tabs>
        <w:ind w:left="3960" w:hanging="360"/>
      </w:pPr>
      <w:rPr>
        <w:rFonts w:ascii="Arial" w:hAnsi="Arial" w:hint="default"/>
      </w:rPr>
    </w:lvl>
    <w:lvl w:ilvl="6" w:tplc="5AE8F5F0" w:tentative="1">
      <w:start w:val="1"/>
      <w:numFmt w:val="bullet"/>
      <w:lvlText w:val="•"/>
      <w:lvlJc w:val="left"/>
      <w:pPr>
        <w:tabs>
          <w:tab w:val="num" w:pos="4680"/>
        </w:tabs>
        <w:ind w:left="4680" w:hanging="360"/>
      </w:pPr>
      <w:rPr>
        <w:rFonts w:ascii="Arial" w:hAnsi="Arial" w:hint="default"/>
      </w:rPr>
    </w:lvl>
    <w:lvl w:ilvl="7" w:tplc="AB043FF6" w:tentative="1">
      <w:start w:val="1"/>
      <w:numFmt w:val="bullet"/>
      <w:lvlText w:val="•"/>
      <w:lvlJc w:val="left"/>
      <w:pPr>
        <w:tabs>
          <w:tab w:val="num" w:pos="5400"/>
        </w:tabs>
        <w:ind w:left="5400" w:hanging="360"/>
      </w:pPr>
      <w:rPr>
        <w:rFonts w:ascii="Arial" w:hAnsi="Arial" w:hint="default"/>
      </w:rPr>
    </w:lvl>
    <w:lvl w:ilvl="8" w:tplc="14882D3C"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4C26FB8"/>
    <w:multiLevelType w:val="hybridMultilevel"/>
    <w:tmpl w:val="561E5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1B6999"/>
    <w:multiLevelType w:val="hybridMultilevel"/>
    <w:tmpl w:val="C7CC8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3E08EC"/>
    <w:multiLevelType w:val="hybridMultilevel"/>
    <w:tmpl w:val="0234C0C6"/>
    <w:lvl w:ilvl="0" w:tplc="1ABE4A3C">
      <w:start w:val="1"/>
      <w:numFmt w:val="bullet"/>
      <w:lvlText w:val="•"/>
      <w:lvlJc w:val="left"/>
      <w:pPr>
        <w:tabs>
          <w:tab w:val="num" w:pos="360"/>
        </w:tabs>
        <w:ind w:left="360" w:hanging="360"/>
      </w:pPr>
      <w:rPr>
        <w:rFonts w:ascii="Arial" w:hAnsi="Arial" w:hint="default"/>
      </w:rPr>
    </w:lvl>
    <w:lvl w:ilvl="1" w:tplc="32FE852A">
      <w:numFmt w:val="bullet"/>
      <w:lvlText w:val="–"/>
      <w:lvlJc w:val="left"/>
      <w:pPr>
        <w:tabs>
          <w:tab w:val="num" w:pos="1080"/>
        </w:tabs>
        <w:ind w:left="1080" w:hanging="360"/>
      </w:pPr>
      <w:rPr>
        <w:rFonts w:ascii="Arial" w:hAnsi="Arial" w:hint="default"/>
      </w:rPr>
    </w:lvl>
    <w:lvl w:ilvl="2" w:tplc="0544788E">
      <w:numFmt w:val="bullet"/>
      <w:lvlText w:val="•"/>
      <w:lvlJc w:val="left"/>
      <w:pPr>
        <w:tabs>
          <w:tab w:val="num" w:pos="1800"/>
        </w:tabs>
        <w:ind w:left="1800" w:hanging="360"/>
      </w:pPr>
      <w:rPr>
        <w:rFonts w:ascii="Arial" w:hAnsi="Arial" w:hint="default"/>
      </w:rPr>
    </w:lvl>
    <w:lvl w:ilvl="3" w:tplc="8498434E" w:tentative="1">
      <w:start w:val="1"/>
      <w:numFmt w:val="bullet"/>
      <w:lvlText w:val="•"/>
      <w:lvlJc w:val="left"/>
      <w:pPr>
        <w:tabs>
          <w:tab w:val="num" w:pos="2520"/>
        </w:tabs>
        <w:ind w:left="2520" w:hanging="360"/>
      </w:pPr>
      <w:rPr>
        <w:rFonts w:ascii="Arial" w:hAnsi="Arial" w:hint="default"/>
      </w:rPr>
    </w:lvl>
    <w:lvl w:ilvl="4" w:tplc="9DA09784" w:tentative="1">
      <w:start w:val="1"/>
      <w:numFmt w:val="bullet"/>
      <w:lvlText w:val="•"/>
      <w:lvlJc w:val="left"/>
      <w:pPr>
        <w:tabs>
          <w:tab w:val="num" w:pos="3240"/>
        </w:tabs>
        <w:ind w:left="3240" w:hanging="360"/>
      </w:pPr>
      <w:rPr>
        <w:rFonts w:ascii="Arial" w:hAnsi="Arial" w:hint="default"/>
      </w:rPr>
    </w:lvl>
    <w:lvl w:ilvl="5" w:tplc="4EFEECB6" w:tentative="1">
      <w:start w:val="1"/>
      <w:numFmt w:val="bullet"/>
      <w:lvlText w:val="•"/>
      <w:lvlJc w:val="left"/>
      <w:pPr>
        <w:tabs>
          <w:tab w:val="num" w:pos="3960"/>
        </w:tabs>
        <w:ind w:left="3960" w:hanging="360"/>
      </w:pPr>
      <w:rPr>
        <w:rFonts w:ascii="Arial" w:hAnsi="Arial" w:hint="default"/>
      </w:rPr>
    </w:lvl>
    <w:lvl w:ilvl="6" w:tplc="A5F099C8" w:tentative="1">
      <w:start w:val="1"/>
      <w:numFmt w:val="bullet"/>
      <w:lvlText w:val="•"/>
      <w:lvlJc w:val="left"/>
      <w:pPr>
        <w:tabs>
          <w:tab w:val="num" w:pos="4680"/>
        </w:tabs>
        <w:ind w:left="4680" w:hanging="360"/>
      </w:pPr>
      <w:rPr>
        <w:rFonts w:ascii="Arial" w:hAnsi="Arial" w:hint="default"/>
      </w:rPr>
    </w:lvl>
    <w:lvl w:ilvl="7" w:tplc="0D2A6C7E" w:tentative="1">
      <w:start w:val="1"/>
      <w:numFmt w:val="bullet"/>
      <w:lvlText w:val="•"/>
      <w:lvlJc w:val="left"/>
      <w:pPr>
        <w:tabs>
          <w:tab w:val="num" w:pos="5400"/>
        </w:tabs>
        <w:ind w:left="5400" w:hanging="360"/>
      </w:pPr>
      <w:rPr>
        <w:rFonts w:ascii="Arial" w:hAnsi="Arial" w:hint="default"/>
      </w:rPr>
    </w:lvl>
    <w:lvl w:ilvl="8" w:tplc="ACB650A0"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32CA1F0A"/>
    <w:multiLevelType w:val="hybridMultilevel"/>
    <w:tmpl w:val="BB5E7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F92B60"/>
    <w:multiLevelType w:val="hybridMultilevel"/>
    <w:tmpl w:val="7DBAE566"/>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 w15:restartNumberingAfterBreak="0">
    <w:nsid w:val="33B200D7"/>
    <w:multiLevelType w:val="hybridMultilevel"/>
    <w:tmpl w:val="53CABF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40E482F"/>
    <w:multiLevelType w:val="hybridMultilevel"/>
    <w:tmpl w:val="0E1CBC56"/>
    <w:lvl w:ilvl="0" w:tplc="E6AC08EA">
      <w:start w:val="1"/>
      <w:numFmt w:val="bullet"/>
      <w:lvlText w:val="•"/>
      <w:lvlJc w:val="left"/>
      <w:pPr>
        <w:tabs>
          <w:tab w:val="num" w:pos="720"/>
        </w:tabs>
        <w:ind w:left="720" w:hanging="360"/>
      </w:pPr>
      <w:rPr>
        <w:rFonts w:ascii="Arial" w:hAnsi="Arial" w:hint="default"/>
      </w:rPr>
    </w:lvl>
    <w:lvl w:ilvl="1" w:tplc="56F8BABE">
      <w:numFmt w:val="bullet"/>
      <w:lvlText w:val="•"/>
      <w:lvlJc w:val="left"/>
      <w:pPr>
        <w:tabs>
          <w:tab w:val="num" w:pos="1440"/>
        </w:tabs>
        <w:ind w:left="1440" w:hanging="360"/>
      </w:pPr>
      <w:rPr>
        <w:rFonts w:ascii="Arial" w:hAnsi="Arial" w:hint="default"/>
      </w:rPr>
    </w:lvl>
    <w:lvl w:ilvl="2" w:tplc="AFC831E4">
      <w:numFmt w:val="bullet"/>
      <w:lvlText w:val="•"/>
      <w:lvlJc w:val="left"/>
      <w:pPr>
        <w:tabs>
          <w:tab w:val="num" w:pos="2160"/>
        </w:tabs>
        <w:ind w:left="2160" w:hanging="360"/>
      </w:pPr>
      <w:rPr>
        <w:rFonts w:ascii="Arial" w:hAnsi="Arial" w:hint="default"/>
      </w:rPr>
    </w:lvl>
    <w:lvl w:ilvl="3" w:tplc="4838F70A">
      <w:numFmt w:val="bullet"/>
      <w:lvlText w:val="•"/>
      <w:lvlJc w:val="left"/>
      <w:pPr>
        <w:tabs>
          <w:tab w:val="num" w:pos="2880"/>
        </w:tabs>
        <w:ind w:left="2880" w:hanging="360"/>
      </w:pPr>
      <w:rPr>
        <w:rFonts w:ascii="Arial" w:hAnsi="Arial" w:hint="default"/>
      </w:rPr>
    </w:lvl>
    <w:lvl w:ilvl="4" w:tplc="E062AB68" w:tentative="1">
      <w:start w:val="1"/>
      <w:numFmt w:val="bullet"/>
      <w:lvlText w:val="•"/>
      <w:lvlJc w:val="left"/>
      <w:pPr>
        <w:tabs>
          <w:tab w:val="num" w:pos="3600"/>
        </w:tabs>
        <w:ind w:left="3600" w:hanging="360"/>
      </w:pPr>
      <w:rPr>
        <w:rFonts w:ascii="Arial" w:hAnsi="Arial" w:hint="default"/>
      </w:rPr>
    </w:lvl>
    <w:lvl w:ilvl="5" w:tplc="2E1AEBEE" w:tentative="1">
      <w:start w:val="1"/>
      <w:numFmt w:val="bullet"/>
      <w:lvlText w:val="•"/>
      <w:lvlJc w:val="left"/>
      <w:pPr>
        <w:tabs>
          <w:tab w:val="num" w:pos="4320"/>
        </w:tabs>
        <w:ind w:left="4320" w:hanging="360"/>
      </w:pPr>
      <w:rPr>
        <w:rFonts w:ascii="Arial" w:hAnsi="Arial" w:hint="default"/>
      </w:rPr>
    </w:lvl>
    <w:lvl w:ilvl="6" w:tplc="A3B85062" w:tentative="1">
      <w:start w:val="1"/>
      <w:numFmt w:val="bullet"/>
      <w:lvlText w:val="•"/>
      <w:lvlJc w:val="left"/>
      <w:pPr>
        <w:tabs>
          <w:tab w:val="num" w:pos="5040"/>
        </w:tabs>
        <w:ind w:left="5040" w:hanging="360"/>
      </w:pPr>
      <w:rPr>
        <w:rFonts w:ascii="Arial" w:hAnsi="Arial" w:hint="default"/>
      </w:rPr>
    </w:lvl>
    <w:lvl w:ilvl="7" w:tplc="45C4F040" w:tentative="1">
      <w:start w:val="1"/>
      <w:numFmt w:val="bullet"/>
      <w:lvlText w:val="•"/>
      <w:lvlJc w:val="left"/>
      <w:pPr>
        <w:tabs>
          <w:tab w:val="num" w:pos="5760"/>
        </w:tabs>
        <w:ind w:left="5760" w:hanging="360"/>
      </w:pPr>
      <w:rPr>
        <w:rFonts w:ascii="Arial" w:hAnsi="Arial" w:hint="default"/>
      </w:rPr>
    </w:lvl>
    <w:lvl w:ilvl="8" w:tplc="7620342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21E2CEA"/>
    <w:multiLevelType w:val="hybridMultilevel"/>
    <w:tmpl w:val="6D0E2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E318FB"/>
    <w:multiLevelType w:val="hybridMultilevel"/>
    <w:tmpl w:val="22AEC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3D439A"/>
    <w:multiLevelType w:val="hybridMultilevel"/>
    <w:tmpl w:val="FE000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4136BE"/>
    <w:multiLevelType w:val="hybridMultilevel"/>
    <w:tmpl w:val="7FF6A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E9C46AC"/>
    <w:multiLevelType w:val="hybridMultilevel"/>
    <w:tmpl w:val="C6EAA406"/>
    <w:lvl w:ilvl="0" w:tplc="77EC3E24">
      <w:start w:val="1"/>
      <w:numFmt w:val="decimal"/>
      <w:lvlText w:val="[%1]"/>
      <w:lvlJc w:val="left"/>
      <w:pPr>
        <w:ind w:left="360" w:hanging="360"/>
      </w:pPr>
      <w:rPr>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0404992"/>
    <w:multiLevelType w:val="hybridMultilevel"/>
    <w:tmpl w:val="5DCE2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C60902"/>
    <w:multiLevelType w:val="hybridMultilevel"/>
    <w:tmpl w:val="0E54FBF2"/>
    <w:lvl w:ilvl="0" w:tplc="160652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8B5948"/>
    <w:multiLevelType w:val="hybridMultilevel"/>
    <w:tmpl w:val="09AEC92C"/>
    <w:lvl w:ilvl="0" w:tplc="17EAEB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34359F"/>
    <w:multiLevelType w:val="hybridMultilevel"/>
    <w:tmpl w:val="A538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2423A2"/>
    <w:multiLevelType w:val="hybridMultilevel"/>
    <w:tmpl w:val="9CE6B67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7C0B7E51"/>
    <w:multiLevelType w:val="hybridMultilevel"/>
    <w:tmpl w:val="668E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
  </w:num>
  <w:num w:numId="3">
    <w:abstractNumId w:val="25"/>
  </w:num>
  <w:num w:numId="4">
    <w:abstractNumId w:val="21"/>
  </w:num>
  <w:num w:numId="5">
    <w:abstractNumId w:val="7"/>
  </w:num>
  <w:num w:numId="6">
    <w:abstractNumId w:val="18"/>
  </w:num>
  <w:num w:numId="7">
    <w:abstractNumId w:val="15"/>
  </w:num>
  <w:num w:numId="8">
    <w:abstractNumId w:val="20"/>
  </w:num>
  <w:num w:numId="9">
    <w:abstractNumId w:val="6"/>
  </w:num>
  <w:num w:numId="10">
    <w:abstractNumId w:val="36"/>
  </w:num>
  <w:num w:numId="11">
    <w:abstractNumId w:val="5"/>
  </w:num>
  <w:num w:numId="12">
    <w:abstractNumId w:val="23"/>
  </w:num>
  <w:num w:numId="13">
    <w:abstractNumId w:val="19"/>
  </w:num>
  <w:num w:numId="14">
    <w:abstractNumId w:val="10"/>
  </w:num>
  <w:num w:numId="15">
    <w:abstractNumId w:val="9"/>
  </w:num>
  <w:num w:numId="16">
    <w:abstractNumId w:val="4"/>
  </w:num>
  <w:num w:numId="17">
    <w:abstractNumId w:val="24"/>
  </w:num>
  <w:num w:numId="18">
    <w:abstractNumId w:val="11"/>
  </w:num>
  <w:num w:numId="19">
    <w:abstractNumId w:val="35"/>
  </w:num>
  <w:num w:numId="20">
    <w:abstractNumId w:val="14"/>
  </w:num>
  <w:num w:numId="21">
    <w:abstractNumId w:val="31"/>
  </w:num>
  <w:num w:numId="22">
    <w:abstractNumId w:val="3"/>
  </w:num>
  <w:num w:numId="23">
    <w:abstractNumId w:val="34"/>
  </w:num>
  <w:num w:numId="24">
    <w:abstractNumId w:val="16"/>
  </w:num>
  <w:num w:numId="25">
    <w:abstractNumId w:val="29"/>
  </w:num>
  <w:num w:numId="26">
    <w:abstractNumId w:val="22"/>
  </w:num>
  <w:num w:numId="27">
    <w:abstractNumId w:val="8"/>
  </w:num>
  <w:num w:numId="28">
    <w:abstractNumId w:val="33"/>
  </w:num>
  <w:num w:numId="29">
    <w:abstractNumId w:val="26"/>
  </w:num>
  <w:num w:numId="30">
    <w:abstractNumId w:val="0"/>
  </w:num>
  <w:num w:numId="31">
    <w:abstractNumId w:val="1"/>
  </w:num>
  <w:num w:numId="32">
    <w:abstractNumId w:val="32"/>
  </w:num>
  <w:num w:numId="33">
    <w:abstractNumId w:val="13"/>
  </w:num>
  <w:num w:numId="34">
    <w:abstractNumId w:val="27"/>
  </w:num>
  <w:num w:numId="35">
    <w:abstractNumId w:val="28"/>
  </w:num>
  <w:num w:numId="36">
    <w:abstractNumId w:val="12"/>
  </w:num>
  <w:num w:numId="37">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B0E"/>
    <w:rsid w:val="00003EF4"/>
    <w:rsid w:val="0000403F"/>
    <w:rsid w:val="00004885"/>
    <w:rsid w:val="00004D8C"/>
    <w:rsid w:val="00004DCB"/>
    <w:rsid w:val="000051F0"/>
    <w:rsid w:val="0000545A"/>
    <w:rsid w:val="0000553B"/>
    <w:rsid w:val="00005D97"/>
    <w:rsid w:val="000063BC"/>
    <w:rsid w:val="00006780"/>
    <w:rsid w:val="00006C7A"/>
    <w:rsid w:val="000070F5"/>
    <w:rsid w:val="00007495"/>
    <w:rsid w:val="00007749"/>
    <w:rsid w:val="0000792C"/>
    <w:rsid w:val="00007B4B"/>
    <w:rsid w:val="00007D32"/>
    <w:rsid w:val="000101EF"/>
    <w:rsid w:val="00010E97"/>
    <w:rsid w:val="00010FD1"/>
    <w:rsid w:val="0001117C"/>
    <w:rsid w:val="000124D1"/>
    <w:rsid w:val="00012D57"/>
    <w:rsid w:val="0001321B"/>
    <w:rsid w:val="0001369A"/>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5D1F"/>
    <w:rsid w:val="00036199"/>
    <w:rsid w:val="000365A2"/>
    <w:rsid w:val="0003698E"/>
    <w:rsid w:val="00036C45"/>
    <w:rsid w:val="00036FA7"/>
    <w:rsid w:val="000370B4"/>
    <w:rsid w:val="0003723F"/>
    <w:rsid w:val="000372BF"/>
    <w:rsid w:val="000377E3"/>
    <w:rsid w:val="00037A21"/>
    <w:rsid w:val="00037C2D"/>
    <w:rsid w:val="000402B6"/>
    <w:rsid w:val="0004032C"/>
    <w:rsid w:val="000404F2"/>
    <w:rsid w:val="00040AAD"/>
    <w:rsid w:val="00040C15"/>
    <w:rsid w:val="000413B8"/>
    <w:rsid w:val="000416DE"/>
    <w:rsid w:val="0004182E"/>
    <w:rsid w:val="000418C8"/>
    <w:rsid w:val="0004198E"/>
    <w:rsid w:val="00041B22"/>
    <w:rsid w:val="00041D52"/>
    <w:rsid w:val="00041EC3"/>
    <w:rsid w:val="000421F3"/>
    <w:rsid w:val="00042BFC"/>
    <w:rsid w:val="000430CF"/>
    <w:rsid w:val="00043266"/>
    <w:rsid w:val="00043407"/>
    <w:rsid w:val="00043703"/>
    <w:rsid w:val="00044225"/>
    <w:rsid w:val="00044576"/>
    <w:rsid w:val="00044872"/>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67D1"/>
    <w:rsid w:val="000669DA"/>
    <w:rsid w:val="00067087"/>
    <w:rsid w:val="0006721A"/>
    <w:rsid w:val="0006739D"/>
    <w:rsid w:val="0006777C"/>
    <w:rsid w:val="00067CA8"/>
    <w:rsid w:val="00067FE2"/>
    <w:rsid w:val="00070192"/>
    <w:rsid w:val="00070A9A"/>
    <w:rsid w:val="00070FC3"/>
    <w:rsid w:val="0007118F"/>
    <w:rsid w:val="0007162A"/>
    <w:rsid w:val="000716FB"/>
    <w:rsid w:val="00071740"/>
    <w:rsid w:val="00072A48"/>
    <w:rsid w:val="00072E75"/>
    <w:rsid w:val="00072EFA"/>
    <w:rsid w:val="00072FF7"/>
    <w:rsid w:val="000731C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32D0"/>
    <w:rsid w:val="00083322"/>
    <w:rsid w:val="0008399B"/>
    <w:rsid w:val="00083ABE"/>
    <w:rsid w:val="00083DB2"/>
    <w:rsid w:val="00084255"/>
    <w:rsid w:val="00085239"/>
    <w:rsid w:val="000855A3"/>
    <w:rsid w:val="00085F08"/>
    <w:rsid w:val="00086210"/>
    <w:rsid w:val="000862BA"/>
    <w:rsid w:val="000862F6"/>
    <w:rsid w:val="00086B50"/>
    <w:rsid w:val="00086C4D"/>
    <w:rsid w:val="0008760B"/>
    <w:rsid w:val="0008782D"/>
    <w:rsid w:val="00087E29"/>
    <w:rsid w:val="0009037D"/>
    <w:rsid w:val="00090394"/>
    <w:rsid w:val="00090573"/>
    <w:rsid w:val="00090779"/>
    <w:rsid w:val="00091ADD"/>
    <w:rsid w:val="000921E3"/>
    <w:rsid w:val="00092A3D"/>
    <w:rsid w:val="00092D01"/>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56B"/>
    <w:rsid w:val="000B32D4"/>
    <w:rsid w:val="000B38DA"/>
    <w:rsid w:val="000B3F37"/>
    <w:rsid w:val="000B4788"/>
    <w:rsid w:val="000B49D7"/>
    <w:rsid w:val="000B546F"/>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493"/>
    <w:rsid w:val="000C4538"/>
    <w:rsid w:val="000C4C76"/>
    <w:rsid w:val="000C5759"/>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D36"/>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CB0"/>
    <w:rsid w:val="000F6D86"/>
    <w:rsid w:val="000F7CAD"/>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39"/>
    <w:rsid w:val="00106CC3"/>
    <w:rsid w:val="00106E7E"/>
    <w:rsid w:val="00106FF1"/>
    <w:rsid w:val="00107423"/>
    <w:rsid w:val="0010795D"/>
    <w:rsid w:val="0011034F"/>
    <w:rsid w:val="0011036F"/>
    <w:rsid w:val="00110851"/>
    <w:rsid w:val="001115C0"/>
    <w:rsid w:val="001115F4"/>
    <w:rsid w:val="001116D2"/>
    <w:rsid w:val="0011190B"/>
    <w:rsid w:val="00111AD9"/>
    <w:rsid w:val="0011211D"/>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033"/>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4B15"/>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6D9"/>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5C4"/>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A42"/>
    <w:rsid w:val="00165D2D"/>
    <w:rsid w:val="00165D9A"/>
    <w:rsid w:val="0016634F"/>
    <w:rsid w:val="001665D2"/>
    <w:rsid w:val="00166809"/>
    <w:rsid w:val="00166879"/>
    <w:rsid w:val="001669F9"/>
    <w:rsid w:val="00166D9E"/>
    <w:rsid w:val="00166EE2"/>
    <w:rsid w:val="00166F5E"/>
    <w:rsid w:val="0016700E"/>
    <w:rsid w:val="00167125"/>
    <w:rsid w:val="0016733C"/>
    <w:rsid w:val="0016764C"/>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47"/>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B4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1565"/>
    <w:rsid w:val="001B2993"/>
    <w:rsid w:val="001B2C18"/>
    <w:rsid w:val="001B35C1"/>
    <w:rsid w:val="001B3754"/>
    <w:rsid w:val="001B3A10"/>
    <w:rsid w:val="001B4371"/>
    <w:rsid w:val="001B5332"/>
    <w:rsid w:val="001B54E9"/>
    <w:rsid w:val="001B55DE"/>
    <w:rsid w:val="001B635D"/>
    <w:rsid w:val="001B70CF"/>
    <w:rsid w:val="001B7244"/>
    <w:rsid w:val="001B748B"/>
    <w:rsid w:val="001B768B"/>
    <w:rsid w:val="001B7905"/>
    <w:rsid w:val="001C005D"/>
    <w:rsid w:val="001C0085"/>
    <w:rsid w:val="001C063F"/>
    <w:rsid w:val="001C0874"/>
    <w:rsid w:val="001C0883"/>
    <w:rsid w:val="001C0FF5"/>
    <w:rsid w:val="001C12A0"/>
    <w:rsid w:val="001C16A9"/>
    <w:rsid w:val="001C19EB"/>
    <w:rsid w:val="001C1E53"/>
    <w:rsid w:val="001C211D"/>
    <w:rsid w:val="001C22B1"/>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D17"/>
    <w:rsid w:val="001F2E08"/>
    <w:rsid w:val="001F33A0"/>
    <w:rsid w:val="001F35A8"/>
    <w:rsid w:val="001F39AB"/>
    <w:rsid w:val="001F45E8"/>
    <w:rsid w:val="001F4E57"/>
    <w:rsid w:val="001F514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573"/>
    <w:rsid w:val="002016C0"/>
    <w:rsid w:val="00201A5F"/>
    <w:rsid w:val="00201B59"/>
    <w:rsid w:val="00201DEC"/>
    <w:rsid w:val="002024E6"/>
    <w:rsid w:val="00202D2E"/>
    <w:rsid w:val="00203159"/>
    <w:rsid w:val="00203658"/>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3ED"/>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5F53"/>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850"/>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14D"/>
    <w:rsid w:val="00245167"/>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25D"/>
    <w:rsid w:val="002533FF"/>
    <w:rsid w:val="00253400"/>
    <w:rsid w:val="002537F5"/>
    <w:rsid w:val="00253905"/>
    <w:rsid w:val="002539D5"/>
    <w:rsid w:val="0025429A"/>
    <w:rsid w:val="0025655A"/>
    <w:rsid w:val="00256B22"/>
    <w:rsid w:val="00256B25"/>
    <w:rsid w:val="00256D51"/>
    <w:rsid w:val="00256F02"/>
    <w:rsid w:val="002571C8"/>
    <w:rsid w:val="002572F1"/>
    <w:rsid w:val="002573C4"/>
    <w:rsid w:val="00257A62"/>
    <w:rsid w:val="00257B60"/>
    <w:rsid w:val="00260156"/>
    <w:rsid w:val="00260669"/>
    <w:rsid w:val="0026075E"/>
    <w:rsid w:val="002608BD"/>
    <w:rsid w:val="00260FAD"/>
    <w:rsid w:val="002617F6"/>
    <w:rsid w:val="00261D05"/>
    <w:rsid w:val="00261E67"/>
    <w:rsid w:val="002623AC"/>
    <w:rsid w:val="00262979"/>
    <w:rsid w:val="00263038"/>
    <w:rsid w:val="002631DC"/>
    <w:rsid w:val="0026382D"/>
    <w:rsid w:val="0026385F"/>
    <w:rsid w:val="00263B75"/>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B40"/>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114"/>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47D"/>
    <w:rsid w:val="002D5DEA"/>
    <w:rsid w:val="002D6127"/>
    <w:rsid w:val="002D61BE"/>
    <w:rsid w:val="002D61F0"/>
    <w:rsid w:val="002D6624"/>
    <w:rsid w:val="002D7235"/>
    <w:rsid w:val="002D76E8"/>
    <w:rsid w:val="002D78EF"/>
    <w:rsid w:val="002E0E5E"/>
    <w:rsid w:val="002E0E94"/>
    <w:rsid w:val="002E15A5"/>
    <w:rsid w:val="002E16BC"/>
    <w:rsid w:val="002E19AD"/>
    <w:rsid w:val="002E1BA1"/>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2C3"/>
    <w:rsid w:val="002F2AE0"/>
    <w:rsid w:val="002F31C4"/>
    <w:rsid w:val="002F322F"/>
    <w:rsid w:val="002F3C0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D88"/>
    <w:rsid w:val="00307E05"/>
    <w:rsid w:val="00307F28"/>
    <w:rsid w:val="003101DC"/>
    <w:rsid w:val="0031049F"/>
    <w:rsid w:val="00310CC6"/>
    <w:rsid w:val="00310F30"/>
    <w:rsid w:val="00311642"/>
    <w:rsid w:val="00311761"/>
    <w:rsid w:val="00311941"/>
    <w:rsid w:val="00312709"/>
    <w:rsid w:val="00312ACB"/>
    <w:rsid w:val="003134E8"/>
    <w:rsid w:val="00313765"/>
    <w:rsid w:val="003137A0"/>
    <w:rsid w:val="00313BC1"/>
    <w:rsid w:val="00313C4F"/>
    <w:rsid w:val="00314111"/>
    <w:rsid w:val="003141C2"/>
    <w:rsid w:val="00314CBB"/>
    <w:rsid w:val="0031599D"/>
    <w:rsid w:val="00315DEC"/>
    <w:rsid w:val="00316064"/>
    <w:rsid w:val="00316C58"/>
    <w:rsid w:val="00316EAE"/>
    <w:rsid w:val="00317050"/>
    <w:rsid w:val="00317625"/>
    <w:rsid w:val="0031767A"/>
    <w:rsid w:val="00317731"/>
    <w:rsid w:val="00317BC5"/>
    <w:rsid w:val="00317C5E"/>
    <w:rsid w:val="0032013F"/>
    <w:rsid w:val="0032018E"/>
    <w:rsid w:val="00320310"/>
    <w:rsid w:val="00320B1B"/>
    <w:rsid w:val="00320B31"/>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1915"/>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62F"/>
    <w:rsid w:val="00363FC9"/>
    <w:rsid w:val="00365023"/>
    <w:rsid w:val="00365644"/>
    <w:rsid w:val="0036590C"/>
    <w:rsid w:val="003665C5"/>
    <w:rsid w:val="00366B3A"/>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397"/>
    <w:rsid w:val="0037757C"/>
    <w:rsid w:val="003775BD"/>
    <w:rsid w:val="00380543"/>
    <w:rsid w:val="00380602"/>
    <w:rsid w:val="00380892"/>
    <w:rsid w:val="00380BBD"/>
    <w:rsid w:val="00380FF5"/>
    <w:rsid w:val="0038158E"/>
    <w:rsid w:val="003821E7"/>
    <w:rsid w:val="00382903"/>
    <w:rsid w:val="00383D4B"/>
    <w:rsid w:val="00383DDB"/>
    <w:rsid w:val="003842A8"/>
    <w:rsid w:val="00384747"/>
    <w:rsid w:val="003848D9"/>
    <w:rsid w:val="00384BC0"/>
    <w:rsid w:val="00384BD4"/>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868"/>
    <w:rsid w:val="00387B2B"/>
    <w:rsid w:val="00390449"/>
    <w:rsid w:val="003904B1"/>
    <w:rsid w:val="003907D2"/>
    <w:rsid w:val="00390C56"/>
    <w:rsid w:val="0039122C"/>
    <w:rsid w:val="0039124D"/>
    <w:rsid w:val="00391354"/>
    <w:rsid w:val="00391A92"/>
    <w:rsid w:val="00391C99"/>
    <w:rsid w:val="003926BE"/>
    <w:rsid w:val="003929BE"/>
    <w:rsid w:val="003929D3"/>
    <w:rsid w:val="00392A1F"/>
    <w:rsid w:val="00392DB8"/>
    <w:rsid w:val="003933FD"/>
    <w:rsid w:val="00393A68"/>
    <w:rsid w:val="00393B78"/>
    <w:rsid w:val="003946B1"/>
    <w:rsid w:val="00394775"/>
    <w:rsid w:val="00394948"/>
    <w:rsid w:val="00394B44"/>
    <w:rsid w:val="00394D6C"/>
    <w:rsid w:val="0039502C"/>
    <w:rsid w:val="0039511F"/>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1E6E"/>
    <w:rsid w:val="003A2019"/>
    <w:rsid w:val="003A2389"/>
    <w:rsid w:val="003A2D39"/>
    <w:rsid w:val="003A2FE7"/>
    <w:rsid w:val="003A349E"/>
    <w:rsid w:val="003A38AC"/>
    <w:rsid w:val="003A42BB"/>
    <w:rsid w:val="003A44AA"/>
    <w:rsid w:val="003A45FB"/>
    <w:rsid w:val="003A48FC"/>
    <w:rsid w:val="003A4A2E"/>
    <w:rsid w:val="003A4CD4"/>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138"/>
    <w:rsid w:val="003C07D7"/>
    <w:rsid w:val="003C0985"/>
    <w:rsid w:val="003C10B8"/>
    <w:rsid w:val="003C2C9D"/>
    <w:rsid w:val="003C35BB"/>
    <w:rsid w:val="003C3B73"/>
    <w:rsid w:val="003C3D6E"/>
    <w:rsid w:val="003C3F8B"/>
    <w:rsid w:val="003C4213"/>
    <w:rsid w:val="003C4250"/>
    <w:rsid w:val="003C44DB"/>
    <w:rsid w:val="003C4B1C"/>
    <w:rsid w:val="003C4F25"/>
    <w:rsid w:val="003C64CD"/>
    <w:rsid w:val="003C6580"/>
    <w:rsid w:val="003C6CCB"/>
    <w:rsid w:val="003C6DA9"/>
    <w:rsid w:val="003C7855"/>
    <w:rsid w:val="003D0240"/>
    <w:rsid w:val="003D06A7"/>
    <w:rsid w:val="003D0868"/>
    <w:rsid w:val="003D09DA"/>
    <w:rsid w:val="003D0D75"/>
    <w:rsid w:val="003D1CD0"/>
    <w:rsid w:val="003D1F11"/>
    <w:rsid w:val="003D22AC"/>
    <w:rsid w:val="003D2339"/>
    <w:rsid w:val="003D26AA"/>
    <w:rsid w:val="003D2AB4"/>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C5B"/>
    <w:rsid w:val="003E3CA6"/>
    <w:rsid w:val="003E40C9"/>
    <w:rsid w:val="003E416F"/>
    <w:rsid w:val="003E44DC"/>
    <w:rsid w:val="003E4884"/>
    <w:rsid w:val="003E4CDB"/>
    <w:rsid w:val="003E5DD3"/>
    <w:rsid w:val="003E6289"/>
    <w:rsid w:val="003E6592"/>
    <w:rsid w:val="003E679D"/>
    <w:rsid w:val="003E6A3C"/>
    <w:rsid w:val="003E700A"/>
    <w:rsid w:val="003E7313"/>
    <w:rsid w:val="003E73BC"/>
    <w:rsid w:val="003E76BB"/>
    <w:rsid w:val="003E7706"/>
    <w:rsid w:val="003E7C5E"/>
    <w:rsid w:val="003F0077"/>
    <w:rsid w:val="003F0656"/>
    <w:rsid w:val="003F0666"/>
    <w:rsid w:val="003F073C"/>
    <w:rsid w:val="003F0905"/>
    <w:rsid w:val="003F13D9"/>
    <w:rsid w:val="003F148D"/>
    <w:rsid w:val="003F1B6D"/>
    <w:rsid w:val="003F1C93"/>
    <w:rsid w:val="003F1CE5"/>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707"/>
    <w:rsid w:val="0040495B"/>
    <w:rsid w:val="00404D4D"/>
    <w:rsid w:val="00404FCC"/>
    <w:rsid w:val="00405898"/>
    <w:rsid w:val="00405A9F"/>
    <w:rsid w:val="00405D95"/>
    <w:rsid w:val="00405F90"/>
    <w:rsid w:val="00406108"/>
    <w:rsid w:val="00406412"/>
    <w:rsid w:val="00406589"/>
    <w:rsid w:val="00406D4A"/>
    <w:rsid w:val="00406D9D"/>
    <w:rsid w:val="00406F4B"/>
    <w:rsid w:val="00406FBD"/>
    <w:rsid w:val="004073B0"/>
    <w:rsid w:val="00407612"/>
    <w:rsid w:val="0041029D"/>
    <w:rsid w:val="004102A7"/>
    <w:rsid w:val="00411230"/>
    <w:rsid w:val="00411472"/>
    <w:rsid w:val="00411558"/>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51F8"/>
    <w:rsid w:val="004253B1"/>
    <w:rsid w:val="00425C97"/>
    <w:rsid w:val="00425E42"/>
    <w:rsid w:val="00425FFD"/>
    <w:rsid w:val="004262F8"/>
    <w:rsid w:val="00426442"/>
    <w:rsid w:val="0042654A"/>
    <w:rsid w:val="00426A93"/>
    <w:rsid w:val="00426D1A"/>
    <w:rsid w:val="00426DFA"/>
    <w:rsid w:val="004272ED"/>
    <w:rsid w:val="004276E3"/>
    <w:rsid w:val="00427B9D"/>
    <w:rsid w:val="00427BFB"/>
    <w:rsid w:val="00427E67"/>
    <w:rsid w:val="00430178"/>
    <w:rsid w:val="004303B3"/>
    <w:rsid w:val="0043042C"/>
    <w:rsid w:val="00430495"/>
    <w:rsid w:val="0043063B"/>
    <w:rsid w:val="00430733"/>
    <w:rsid w:val="00430D78"/>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F5E"/>
    <w:rsid w:val="00445513"/>
    <w:rsid w:val="00445625"/>
    <w:rsid w:val="00445907"/>
    <w:rsid w:val="0044596D"/>
    <w:rsid w:val="00445CFF"/>
    <w:rsid w:val="004462AF"/>
    <w:rsid w:val="00446424"/>
    <w:rsid w:val="0044662A"/>
    <w:rsid w:val="004478FA"/>
    <w:rsid w:val="00447FB0"/>
    <w:rsid w:val="004503F9"/>
    <w:rsid w:val="00450778"/>
    <w:rsid w:val="00450D3B"/>
    <w:rsid w:val="0045169D"/>
    <w:rsid w:val="004518D5"/>
    <w:rsid w:val="00451B06"/>
    <w:rsid w:val="00451BEB"/>
    <w:rsid w:val="004520FE"/>
    <w:rsid w:val="004527C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35"/>
    <w:rsid w:val="004605CC"/>
    <w:rsid w:val="0046072D"/>
    <w:rsid w:val="00460921"/>
    <w:rsid w:val="00460958"/>
    <w:rsid w:val="00460DF0"/>
    <w:rsid w:val="0046110A"/>
    <w:rsid w:val="004612C8"/>
    <w:rsid w:val="0046136B"/>
    <w:rsid w:val="004614A1"/>
    <w:rsid w:val="0046164D"/>
    <w:rsid w:val="004616E5"/>
    <w:rsid w:val="004616FF"/>
    <w:rsid w:val="0046194F"/>
    <w:rsid w:val="00461C00"/>
    <w:rsid w:val="004622A1"/>
    <w:rsid w:val="004622D0"/>
    <w:rsid w:val="00462420"/>
    <w:rsid w:val="0046260A"/>
    <w:rsid w:val="0046287B"/>
    <w:rsid w:val="00462B09"/>
    <w:rsid w:val="00462B31"/>
    <w:rsid w:val="004630D5"/>
    <w:rsid w:val="00463337"/>
    <w:rsid w:val="00463448"/>
    <w:rsid w:val="004636FA"/>
    <w:rsid w:val="0046400B"/>
    <w:rsid w:val="004641A0"/>
    <w:rsid w:val="0046434B"/>
    <w:rsid w:val="00464A82"/>
    <w:rsid w:val="00464EE0"/>
    <w:rsid w:val="00465158"/>
    <w:rsid w:val="00465180"/>
    <w:rsid w:val="00465235"/>
    <w:rsid w:val="00465467"/>
    <w:rsid w:val="00465573"/>
    <w:rsid w:val="00465A81"/>
    <w:rsid w:val="00465EB3"/>
    <w:rsid w:val="0047041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FFB"/>
    <w:rsid w:val="004B7311"/>
    <w:rsid w:val="004B795F"/>
    <w:rsid w:val="004B7BA5"/>
    <w:rsid w:val="004C0346"/>
    <w:rsid w:val="004C0B5B"/>
    <w:rsid w:val="004C0B9A"/>
    <w:rsid w:val="004C0C5C"/>
    <w:rsid w:val="004C0F99"/>
    <w:rsid w:val="004C130D"/>
    <w:rsid w:val="004C1624"/>
    <w:rsid w:val="004C18BF"/>
    <w:rsid w:val="004C18E0"/>
    <w:rsid w:val="004C19E4"/>
    <w:rsid w:val="004C2371"/>
    <w:rsid w:val="004C2F01"/>
    <w:rsid w:val="004C3472"/>
    <w:rsid w:val="004C34E8"/>
    <w:rsid w:val="004C3AD1"/>
    <w:rsid w:val="004C3C51"/>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797"/>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18"/>
    <w:rsid w:val="004E7B7F"/>
    <w:rsid w:val="004E7C11"/>
    <w:rsid w:val="004E7C85"/>
    <w:rsid w:val="004F01B4"/>
    <w:rsid w:val="004F020A"/>
    <w:rsid w:val="004F02AB"/>
    <w:rsid w:val="004F133C"/>
    <w:rsid w:val="004F13D2"/>
    <w:rsid w:val="004F1443"/>
    <w:rsid w:val="004F152A"/>
    <w:rsid w:val="004F1633"/>
    <w:rsid w:val="004F180E"/>
    <w:rsid w:val="004F18ED"/>
    <w:rsid w:val="004F1A00"/>
    <w:rsid w:val="004F1AEF"/>
    <w:rsid w:val="004F20AA"/>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946"/>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0CE2"/>
    <w:rsid w:val="00511599"/>
    <w:rsid w:val="005119D6"/>
    <w:rsid w:val="00511E67"/>
    <w:rsid w:val="00512747"/>
    <w:rsid w:val="00512A7B"/>
    <w:rsid w:val="00512D39"/>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73A4"/>
    <w:rsid w:val="005179DC"/>
    <w:rsid w:val="0052001B"/>
    <w:rsid w:val="00520AE3"/>
    <w:rsid w:val="00521294"/>
    <w:rsid w:val="00521B3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68B"/>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195"/>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CDA"/>
    <w:rsid w:val="00546D63"/>
    <w:rsid w:val="005471A3"/>
    <w:rsid w:val="00547D9B"/>
    <w:rsid w:val="00547F14"/>
    <w:rsid w:val="0055088A"/>
    <w:rsid w:val="00550D6F"/>
    <w:rsid w:val="005511B1"/>
    <w:rsid w:val="00551248"/>
    <w:rsid w:val="00551483"/>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EF6"/>
    <w:rsid w:val="00571358"/>
    <w:rsid w:val="00571382"/>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6EA"/>
    <w:rsid w:val="00576903"/>
    <w:rsid w:val="00576A37"/>
    <w:rsid w:val="00577368"/>
    <w:rsid w:val="005773FF"/>
    <w:rsid w:val="00577540"/>
    <w:rsid w:val="005777AC"/>
    <w:rsid w:val="00577E83"/>
    <w:rsid w:val="00577EB4"/>
    <w:rsid w:val="00580F52"/>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34D"/>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4DF"/>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7F9"/>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87D"/>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AB6"/>
    <w:rsid w:val="00644E60"/>
    <w:rsid w:val="00645190"/>
    <w:rsid w:val="00645ACC"/>
    <w:rsid w:val="0064615B"/>
    <w:rsid w:val="006466B5"/>
    <w:rsid w:val="006477A7"/>
    <w:rsid w:val="00647BB6"/>
    <w:rsid w:val="00647CB3"/>
    <w:rsid w:val="00650150"/>
    <w:rsid w:val="00650854"/>
    <w:rsid w:val="00650D1E"/>
    <w:rsid w:val="00650D3F"/>
    <w:rsid w:val="00650EB1"/>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A48"/>
    <w:rsid w:val="00672E1F"/>
    <w:rsid w:val="00672F51"/>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F30"/>
    <w:rsid w:val="00680F81"/>
    <w:rsid w:val="0068102D"/>
    <w:rsid w:val="00681254"/>
    <w:rsid w:val="00681307"/>
    <w:rsid w:val="006820C0"/>
    <w:rsid w:val="0068226B"/>
    <w:rsid w:val="00682E47"/>
    <w:rsid w:val="00682ED3"/>
    <w:rsid w:val="006839BA"/>
    <w:rsid w:val="00683D7F"/>
    <w:rsid w:val="00683E9E"/>
    <w:rsid w:val="00683F24"/>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1CD"/>
    <w:rsid w:val="006A14A5"/>
    <w:rsid w:val="006A18DD"/>
    <w:rsid w:val="006A20BD"/>
    <w:rsid w:val="006A2312"/>
    <w:rsid w:val="006A2347"/>
    <w:rsid w:val="006A24B3"/>
    <w:rsid w:val="006A29BF"/>
    <w:rsid w:val="006A2BF5"/>
    <w:rsid w:val="006A2D0E"/>
    <w:rsid w:val="006A2E66"/>
    <w:rsid w:val="006A3227"/>
    <w:rsid w:val="006A3396"/>
    <w:rsid w:val="006A351E"/>
    <w:rsid w:val="006A3F94"/>
    <w:rsid w:val="006A40D0"/>
    <w:rsid w:val="006A4113"/>
    <w:rsid w:val="006A49B5"/>
    <w:rsid w:val="006A4F1A"/>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4F8"/>
    <w:rsid w:val="006B393F"/>
    <w:rsid w:val="006B3E55"/>
    <w:rsid w:val="006B401E"/>
    <w:rsid w:val="006B4B0E"/>
    <w:rsid w:val="006B5111"/>
    <w:rsid w:val="006B5A7D"/>
    <w:rsid w:val="006B6346"/>
    <w:rsid w:val="006B6AD0"/>
    <w:rsid w:val="006B6BA3"/>
    <w:rsid w:val="006B6C83"/>
    <w:rsid w:val="006B6C95"/>
    <w:rsid w:val="006B725C"/>
    <w:rsid w:val="006B7864"/>
    <w:rsid w:val="006C03B2"/>
    <w:rsid w:val="006C09DD"/>
    <w:rsid w:val="006C0B08"/>
    <w:rsid w:val="006C0D37"/>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0E7E"/>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115"/>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504"/>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98"/>
    <w:rsid w:val="00721DB3"/>
    <w:rsid w:val="00721E1D"/>
    <w:rsid w:val="00722260"/>
    <w:rsid w:val="00722809"/>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3AD"/>
    <w:rsid w:val="0072650B"/>
    <w:rsid w:val="00726537"/>
    <w:rsid w:val="0072665F"/>
    <w:rsid w:val="007273EC"/>
    <w:rsid w:val="007279F1"/>
    <w:rsid w:val="00727E9F"/>
    <w:rsid w:val="00730F0F"/>
    <w:rsid w:val="00730FB9"/>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46A"/>
    <w:rsid w:val="007415B6"/>
    <w:rsid w:val="00741A56"/>
    <w:rsid w:val="007420C9"/>
    <w:rsid w:val="00742695"/>
    <w:rsid w:val="00742A51"/>
    <w:rsid w:val="00743468"/>
    <w:rsid w:val="007435B1"/>
    <w:rsid w:val="007436B1"/>
    <w:rsid w:val="007436D5"/>
    <w:rsid w:val="00743867"/>
    <w:rsid w:val="00744055"/>
    <w:rsid w:val="0074443A"/>
    <w:rsid w:val="0074462D"/>
    <w:rsid w:val="0074475B"/>
    <w:rsid w:val="00744E4F"/>
    <w:rsid w:val="0074544C"/>
    <w:rsid w:val="0074576E"/>
    <w:rsid w:val="0074587B"/>
    <w:rsid w:val="007458E7"/>
    <w:rsid w:val="00745EBB"/>
    <w:rsid w:val="00746167"/>
    <w:rsid w:val="00746199"/>
    <w:rsid w:val="00746D90"/>
    <w:rsid w:val="00747446"/>
    <w:rsid w:val="007475BE"/>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C35"/>
    <w:rsid w:val="00775EFD"/>
    <w:rsid w:val="00775F11"/>
    <w:rsid w:val="00776351"/>
    <w:rsid w:val="007765B0"/>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75A"/>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937"/>
    <w:rsid w:val="007B4D3D"/>
    <w:rsid w:val="007B550D"/>
    <w:rsid w:val="007B56F0"/>
    <w:rsid w:val="007B5A66"/>
    <w:rsid w:val="007B630D"/>
    <w:rsid w:val="007B645F"/>
    <w:rsid w:val="007B6B0D"/>
    <w:rsid w:val="007B77FB"/>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2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3C2"/>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653"/>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605"/>
    <w:rsid w:val="007F5608"/>
    <w:rsid w:val="007F5874"/>
    <w:rsid w:val="007F5D4A"/>
    <w:rsid w:val="007F6020"/>
    <w:rsid w:val="007F6562"/>
    <w:rsid w:val="007F65F2"/>
    <w:rsid w:val="007F6772"/>
    <w:rsid w:val="007F6AD2"/>
    <w:rsid w:val="007F70D6"/>
    <w:rsid w:val="007F7237"/>
    <w:rsid w:val="007F7723"/>
    <w:rsid w:val="007F7733"/>
    <w:rsid w:val="007F7864"/>
    <w:rsid w:val="007F795B"/>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4B56"/>
    <w:rsid w:val="008050E9"/>
    <w:rsid w:val="008053A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3E8"/>
    <w:rsid w:val="00810DE9"/>
    <w:rsid w:val="00810EAE"/>
    <w:rsid w:val="00811036"/>
    <w:rsid w:val="00812027"/>
    <w:rsid w:val="008123D5"/>
    <w:rsid w:val="008124FE"/>
    <w:rsid w:val="008127B0"/>
    <w:rsid w:val="00812FE3"/>
    <w:rsid w:val="0081362C"/>
    <w:rsid w:val="00813CE0"/>
    <w:rsid w:val="00814072"/>
    <w:rsid w:val="008142CD"/>
    <w:rsid w:val="0081433F"/>
    <w:rsid w:val="00814500"/>
    <w:rsid w:val="00814B38"/>
    <w:rsid w:val="00814B65"/>
    <w:rsid w:val="00814BD6"/>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3A3"/>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ED6"/>
    <w:rsid w:val="00884255"/>
    <w:rsid w:val="0088425B"/>
    <w:rsid w:val="00884264"/>
    <w:rsid w:val="00884AD8"/>
    <w:rsid w:val="00884CDF"/>
    <w:rsid w:val="0088579F"/>
    <w:rsid w:val="00885D5D"/>
    <w:rsid w:val="00885EC9"/>
    <w:rsid w:val="00885F46"/>
    <w:rsid w:val="00885F7A"/>
    <w:rsid w:val="00886223"/>
    <w:rsid w:val="0088651F"/>
    <w:rsid w:val="0088697F"/>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5243"/>
    <w:rsid w:val="00895A0C"/>
    <w:rsid w:val="00895AA1"/>
    <w:rsid w:val="00895E55"/>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39E2"/>
    <w:rsid w:val="008A42D8"/>
    <w:rsid w:val="008A457F"/>
    <w:rsid w:val="008A4DAC"/>
    <w:rsid w:val="008A4E04"/>
    <w:rsid w:val="008A53C3"/>
    <w:rsid w:val="008A5846"/>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3B"/>
    <w:rsid w:val="008D13DC"/>
    <w:rsid w:val="008D149D"/>
    <w:rsid w:val="008D1988"/>
    <w:rsid w:val="008D1E23"/>
    <w:rsid w:val="008D2209"/>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D2D"/>
    <w:rsid w:val="008F3D7C"/>
    <w:rsid w:val="008F3DC9"/>
    <w:rsid w:val="008F4107"/>
    <w:rsid w:val="008F4B0F"/>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B88"/>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2A"/>
    <w:rsid w:val="009067B8"/>
    <w:rsid w:val="00906EED"/>
    <w:rsid w:val="00907071"/>
    <w:rsid w:val="0090715C"/>
    <w:rsid w:val="009076AC"/>
    <w:rsid w:val="00907BEE"/>
    <w:rsid w:val="00910874"/>
    <w:rsid w:val="009108A7"/>
    <w:rsid w:val="009112C7"/>
    <w:rsid w:val="00911A5A"/>
    <w:rsid w:val="00911E1A"/>
    <w:rsid w:val="0091225D"/>
    <w:rsid w:val="009123B9"/>
    <w:rsid w:val="00912A63"/>
    <w:rsid w:val="00912A96"/>
    <w:rsid w:val="00912F6D"/>
    <w:rsid w:val="00913AF7"/>
    <w:rsid w:val="00913B67"/>
    <w:rsid w:val="00913F4C"/>
    <w:rsid w:val="0091404B"/>
    <w:rsid w:val="009140A5"/>
    <w:rsid w:val="00914215"/>
    <w:rsid w:val="0091423A"/>
    <w:rsid w:val="00914445"/>
    <w:rsid w:val="00914A5D"/>
    <w:rsid w:val="00915032"/>
    <w:rsid w:val="00915143"/>
    <w:rsid w:val="009151C0"/>
    <w:rsid w:val="0091537E"/>
    <w:rsid w:val="00915399"/>
    <w:rsid w:val="009154BD"/>
    <w:rsid w:val="00915570"/>
    <w:rsid w:val="009156C5"/>
    <w:rsid w:val="0091610F"/>
    <w:rsid w:val="009161B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2F7F"/>
    <w:rsid w:val="00933D61"/>
    <w:rsid w:val="00933DE4"/>
    <w:rsid w:val="00934044"/>
    <w:rsid w:val="00934747"/>
    <w:rsid w:val="00934FFD"/>
    <w:rsid w:val="009359C0"/>
    <w:rsid w:val="00935B52"/>
    <w:rsid w:val="009360F7"/>
    <w:rsid w:val="0093634D"/>
    <w:rsid w:val="0093672B"/>
    <w:rsid w:val="00936B8C"/>
    <w:rsid w:val="00936D07"/>
    <w:rsid w:val="009370A6"/>
    <w:rsid w:val="009373C5"/>
    <w:rsid w:val="00937AC7"/>
    <w:rsid w:val="00937D15"/>
    <w:rsid w:val="00940A5D"/>
    <w:rsid w:val="00940BCB"/>
    <w:rsid w:val="00940D76"/>
    <w:rsid w:val="00940D85"/>
    <w:rsid w:val="00940DF4"/>
    <w:rsid w:val="00940FB5"/>
    <w:rsid w:val="00941259"/>
    <w:rsid w:val="0094148B"/>
    <w:rsid w:val="00941A1C"/>
    <w:rsid w:val="00941B97"/>
    <w:rsid w:val="00941E13"/>
    <w:rsid w:val="009421B3"/>
    <w:rsid w:val="0094267F"/>
    <w:rsid w:val="00942A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BFC"/>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56F"/>
    <w:rsid w:val="00992624"/>
    <w:rsid w:val="009927C4"/>
    <w:rsid w:val="00992A4E"/>
    <w:rsid w:val="00992ED6"/>
    <w:rsid w:val="00993075"/>
    <w:rsid w:val="009930C0"/>
    <w:rsid w:val="0099324C"/>
    <w:rsid w:val="00993627"/>
    <w:rsid w:val="0099367D"/>
    <w:rsid w:val="009936F0"/>
    <w:rsid w:val="0099464F"/>
    <w:rsid w:val="00994D59"/>
    <w:rsid w:val="009951AB"/>
    <w:rsid w:val="0099531F"/>
    <w:rsid w:val="00995360"/>
    <w:rsid w:val="009954AD"/>
    <w:rsid w:val="0099647E"/>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5EF9"/>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D5C"/>
    <w:rsid w:val="009B7DF5"/>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234"/>
    <w:rsid w:val="009E2BE6"/>
    <w:rsid w:val="009E2CB8"/>
    <w:rsid w:val="009E2DD3"/>
    <w:rsid w:val="009E2EAE"/>
    <w:rsid w:val="009E2F97"/>
    <w:rsid w:val="009E3644"/>
    <w:rsid w:val="009E3759"/>
    <w:rsid w:val="009E3790"/>
    <w:rsid w:val="009E3C31"/>
    <w:rsid w:val="009E3E19"/>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6F"/>
    <w:rsid w:val="00A1197E"/>
    <w:rsid w:val="00A11A89"/>
    <w:rsid w:val="00A11ACA"/>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389"/>
    <w:rsid w:val="00A2260A"/>
    <w:rsid w:val="00A22664"/>
    <w:rsid w:val="00A23243"/>
    <w:rsid w:val="00A23590"/>
    <w:rsid w:val="00A23919"/>
    <w:rsid w:val="00A23921"/>
    <w:rsid w:val="00A23E0D"/>
    <w:rsid w:val="00A24002"/>
    <w:rsid w:val="00A2470A"/>
    <w:rsid w:val="00A2481C"/>
    <w:rsid w:val="00A24CCF"/>
    <w:rsid w:val="00A25296"/>
    <w:rsid w:val="00A253C6"/>
    <w:rsid w:val="00A2585A"/>
    <w:rsid w:val="00A25B10"/>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AFB"/>
    <w:rsid w:val="00A34BE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5A"/>
    <w:rsid w:val="00A46FAD"/>
    <w:rsid w:val="00A47B4B"/>
    <w:rsid w:val="00A5044D"/>
    <w:rsid w:val="00A509DE"/>
    <w:rsid w:val="00A50B00"/>
    <w:rsid w:val="00A50D49"/>
    <w:rsid w:val="00A511FB"/>
    <w:rsid w:val="00A514EB"/>
    <w:rsid w:val="00A516EF"/>
    <w:rsid w:val="00A521E0"/>
    <w:rsid w:val="00A524C8"/>
    <w:rsid w:val="00A5291D"/>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C2C"/>
    <w:rsid w:val="00A57311"/>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4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4D67"/>
    <w:rsid w:val="00AB4EFB"/>
    <w:rsid w:val="00AB513E"/>
    <w:rsid w:val="00AB51DA"/>
    <w:rsid w:val="00AB53BA"/>
    <w:rsid w:val="00AB57AD"/>
    <w:rsid w:val="00AB583A"/>
    <w:rsid w:val="00AB5E39"/>
    <w:rsid w:val="00AB607B"/>
    <w:rsid w:val="00AB642C"/>
    <w:rsid w:val="00AB644A"/>
    <w:rsid w:val="00AB6458"/>
    <w:rsid w:val="00AB6CA0"/>
    <w:rsid w:val="00AB76D5"/>
    <w:rsid w:val="00AB7787"/>
    <w:rsid w:val="00AB78AC"/>
    <w:rsid w:val="00AB7913"/>
    <w:rsid w:val="00AB79A8"/>
    <w:rsid w:val="00AC0169"/>
    <w:rsid w:val="00AC0CC3"/>
    <w:rsid w:val="00AC1281"/>
    <w:rsid w:val="00AC1554"/>
    <w:rsid w:val="00AC21BA"/>
    <w:rsid w:val="00AC22C7"/>
    <w:rsid w:val="00AC281A"/>
    <w:rsid w:val="00AC2D4E"/>
    <w:rsid w:val="00AC3084"/>
    <w:rsid w:val="00AC3431"/>
    <w:rsid w:val="00AC38E9"/>
    <w:rsid w:val="00AC45D6"/>
    <w:rsid w:val="00AC4D1B"/>
    <w:rsid w:val="00AC4D53"/>
    <w:rsid w:val="00AC4D9E"/>
    <w:rsid w:val="00AC4E2E"/>
    <w:rsid w:val="00AC5C2A"/>
    <w:rsid w:val="00AC5F7E"/>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1E51"/>
    <w:rsid w:val="00AE2205"/>
    <w:rsid w:val="00AE232B"/>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3DE1"/>
    <w:rsid w:val="00AF4095"/>
    <w:rsid w:val="00AF41FC"/>
    <w:rsid w:val="00AF4447"/>
    <w:rsid w:val="00AF457C"/>
    <w:rsid w:val="00AF4ABD"/>
    <w:rsid w:val="00AF5363"/>
    <w:rsid w:val="00AF5673"/>
    <w:rsid w:val="00AF579C"/>
    <w:rsid w:val="00AF5F78"/>
    <w:rsid w:val="00AF63A9"/>
    <w:rsid w:val="00AF6591"/>
    <w:rsid w:val="00AF66F1"/>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F9A"/>
    <w:rsid w:val="00B2613A"/>
    <w:rsid w:val="00B263BE"/>
    <w:rsid w:val="00B269CE"/>
    <w:rsid w:val="00B271E3"/>
    <w:rsid w:val="00B2757B"/>
    <w:rsid w:val="00B27D54"/>
    <w:rsid w:val="00B3057A"/>
    <w:rsid w:val="00B308C7"/>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CB3"/>
    <w:rsid w:val="00B35F8E"/>
    <w:rsid w:val="00B363C8"/>
    <w:rsid w:val="00B36906"/>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A40"/>
    <w:rsid w:val="00B5238F"/>
    <w:rsid w:val="00B529F2"/>
    <w:rsid w:val="00B52EC8"/>
    <w:rsid w:val="00B53414"/>
    <w:rsid w:val="00B5370C"/>
    <w:rsid w:val="00B538FF"/>
    <w:rsid w:val="00B53EF5"/>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4F38"/>
    <w:rsid w:val="00B652B0"/>
    <w:rsid w:val="00B65771"/>
    <w:rsid w:val="00B664EC"/>
    <w:rsid w:val="00B66801"/>
    <w:rsid w:val="00B668B4"/>
    <w:rsid w:val="00B66FFC"/>
    <w:rsid w:val="00B6796C"/>
    <w:rsid w:val="00B67B2B"/>
    <w:rsid w:val="00B7001D"/>
    <w:rsid w:val="00B7021B"/>
    <w:rsid w:val="00B70333"/>
    <w:rsid w:val="00B70A49"/>
    <w:rsid w:val="00B70EDB"/>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016"/>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515"/>
    <w:rsid w:val="00B82A8C"/>
    <w:rsid w:val="00B830F7"/>
    <w:rsid w:val="00B8321E"/>
    <w:rsid w:val="00B837F5"/>
    <w:rsid w:val="00B83AC3"/>
    <w:rsid w:val="00B83DAC"/>
    <w:rsid w:val="00B83DF6"/>
    <w:rsid w:val="00B84BE8"/>
    <w:rsid w:val="00B855A8"/>
    <w:rsid w:val="00B85837"/>
    <w:rsid w:val="00B85F67"/>
    <w:rsid w:val="00B86557"/>
    <w:rsid w:val="00B86D87"/>
    <w:rsid w:val="00B87AF3"/>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3FF"/>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2FA6"/>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A61"/>
    <w:rsid w:val="00BB3D91"/>
    <w:rsid w:val="00BB3F4C"/>
    <w:rsid w:val="00BB4A42"/>
    <w:rsid w:val="00BB5075"/>
    <w:rsid w:val="00BB5321"/>
    <w:rsid w:val="00BB55C2"/>
    <w:rsid w:val="00BB56F2"/>
    <w:rsid w:val="00BB57E0"/>
    <w:rsid w:val="00BB5846"/>
    <w:rsid w:val="00BB61DC"/>
    <w:rsid w:val="00BB6258"/>
    <w:rsid w:val="00BB6431"/>
    <w:rsid w:val="00BB645D"/>
    <w:rsid w:val="00BB6472"/>
    <w:rsid w:val="00BB71EC"/>
    <w:rsid w:val="00BB724B"/>
    <w:rsid w:val="00BB740F"/>
    <w:rsid w:val="00BB7DB1"/>
    <w:rsid w:val="00BC0AE6"/>
    <w:rsid w:val="00BC1293"/>
    <w:rsid w:val="00BC16BF"/>
    <w:rsid w:val="00BC1B4B"/>
    <w:rsid w:val="00BC201A"/>
    <w:rsid w:val="00BC2BC7"/>
    <w:rsid w:val="00BC2F45"/>
    <w:rsid w:val="00BC344E"/>
    <w:rsid w:val="00BC38B8"/>
    <w:rsid w:val="00BC3CF8"/>
    <w:rsid w:val="00BC4B9C"/>
    <w:rsid w:val="00BC4D50"/>
    <w:rsid w:val="00BC5181"/>
    <w:rsid w:val="00BC56C1"/>
    <w:rsid w:val="00BC5CE2"/>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6CB"/>
    <w:rsid w:val="00BE197A"/>
    <w:rsid w:val="00BE1A06"/>
    <w:rsid w:val="00BE2E99"/>
    <w:rsid w:val="00BE3AFA"/>
    <w:rsid w:val="00BE3F52"/>
    <w:rsid w:val="00BE403F"/>
    <w:rsid w:val="00BE45C1"/>
    <w:rsid w:val="00BE51C7"/>
    <w:rsid w:val="00BE5515"/>
    <w:rsid w:val="00BE5613"/>
    <w:rsid w:val="00BE5813"/>
    <w:rsid w:val="00BE5C7E"/>
    <w:rsid w:val="00BE6038"/>
    <w:rsid w:val="00BE65B3"/>
    <w:rsid w:val="00BE68B9"/>
    <w:rsid w:val="00BE7265"/>
    <w:rsid w:val="00BE7B27"/>
    <w:rsid w:val="00BF02E6"/>
    <w:rsid w:val="00BF04B1"/>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BC2"/>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5F3E"/>
    <w:rsid w:val="00C06031"/>
    <w:rsid w:val="00C06066"/>
    <w:rsid w:val="00C0648A"/>
    <w:rsid w:val="00C067A4"/>
    <w:rsid w:val="00C06E36"/>
    <w:rsid w:val="00C06F8C"/>
    <w:rsid w:val="00C0734B"/>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83A"/>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7CE"/>
    <w:rsid w:val="00C20A2D"/>
    <w:rsid w:val="00C20DD5"/>
    <w:rsid w:val="00C20F2A"/>
    <w:rsid w:val="00C226CE"/>
    <w:rsid w:val="00C227E3"/>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60D"/>
    <w:rsid w:val="00C3175A"/>
    <w:rsid w:val="00C319A2"/>
    <w:rsid w:val="00C3208A"/>
    <w:rsid w:val="00C3260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64A1"/>
    <w:rsid w:val="00C470AA"/>
    <w:rsid w:val="00C476E4"/>
    <w:rsid w:val="00C47AE8"/>
    <w:rsid w:val="00C47B93"/>
    <w:rsid w:val="00C47BDE"/>
    <w:rsid w:val="00C47EC4"/>
    <w:rsid w:val="00C508B7"/>
    <w:rsid w:val="00C509D3"/>
    <w:rsid w:val="00C51696"/>
    <w:rsid w:val="00C5193F"/>
    <w:rsid w:val="00C51D11"/>
    <w:rsid w:val="00C51D30"/>
    <w:rsid w:val="00C51F21"/>
    <w:rsid w:val="00C521CD"/>
    <w:rsid w:val="00C5257E"/>
    <w:rsid w:val="00C52DD4"/>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3152"/>
    <w:rsid w:val="00C633AB"/>
    <w:rsid w:val="00C6343A"/>
    <w:rsid w:val="00C636B0"/>
    <w:rsid w:val="00C64849"/>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E2E"/>
    <w:rsid w:val="00C67F34"/>
    <w:rsid w:val="00C70366"/>
    <w:rsid w:val="00C7040D"/>
    <w:rsid w:val="00C70B8C"/>
    <w:rsid w:val="00C71082"/>
    <w:rsid w:val="00C71327"/>
    <w:rsid w:val="00C71468"/>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6C8A"/>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6A4C"/>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1D9"/>
    <w:rsid w:val="00CA4586"/>
    <w:rsid w:val="00CA49C0"/>
    <w:rsid w:val="00CA4A24"/>
    <w:rsid w:val="00CA4A3F"/>
    <w:rsid w:val="00CA4C14"/>
    <w:rsid w:val="00CA4D19"/>
    <w:rsid w:val="00CA4F58"/>
    <w:rsid w:val="00CA51A0"/>
    <w:rsid w:val="00CA5DA3"/>
    <w:rsid w:val="00CA6164"/>
    <w:rsid w:val="00CA6734"/>
    <w:rsid w:val="00CA6BDF"/>
    <w:rsid w:val="00CB0072"/>
    <w:rsid w:val="00CB01BC"/>
    <w:rsid w:val="00CB03CF"/>
    <w:rsid w:val="00CB047F"/>
    <w:rsid w:val="00CB11BD"/>
    <w:rsid w:val="00CB1368"/>
    <w:rsid w:val="00CB167F"/>
    <w:rsid w:val="00CB1F2A"/>
    <w:rsid w:val="00CB2655"/>
    <w:rsid w:val="00CB299C"/>
    <w:rsid w:val="00CB2BBA"/>
    <w:rsid w:val="00CB35ED"/>
    <w:rsid w:val="00CB39EB"/>
    <w:rsid w:val="00CB3A64"/>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1AE"/>
    <w:rsid w:val="00CF495B"/>
    <w:rsid w:val="00CF4B3B"/>
    <w:rsid w:val="00CF4F02"/>
    <w:rsid w:val="00CF4F88"/>
    <w:rsid w:val="00CF5E86"/>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9A0"/>
    <w:rsid w:val="00D03AC6"/>
    <w:rsid w:val="00D04A63"/>
    <w:rsid w:val="00D04FC8"/>
    <w:rsid w:val="00D050BA"/>
    <w:rsid w:val="00D05B47"/>
    <w:rsid w:val="00D05F62"/>
    <w:rsid w:val="00D05FD4"/>
    <w:rsid w:val="00D05FFE"/>
    <w:rsid w:val="00D06088"/>
    <w:rsid w:val="00D0675C"/>
    <w:rsid w:val="00D06800"/>
    <w:rsid w:val="00D06B22"/>
    <w:rsid w:val="00D06DED"/>
    <w:rsid w:val="00D070AD"/>
    <w:rsid w:val="00D073D1"/>
    <w:rsid w:val="00D078A7"/>
    <w:rsid w:val="00D078A9"/>
    <w:rsid w:val="00D078C9"/>
    <w:rsid w:val="00D07BEB"/>
    <w:rsid w:val="00D07D73"/>
    <w:rsid w:val="00D07DCA"/>
    <w:rsid w:val="00D07E5F"/>
    <w:rsid w:val="00D1023A"/>
    <w:rsid w:val="00D11672"/>
    <w:rsid w:val="00D11873"/>
    <w:rsid w:val="00D11DD7"/>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6996"/>
    <w:rsid w:val="00D17869"/>
    <w:rsid w:val="00D1792B"/>
    <w:rsid w:val="00D17F37"/>
    <w:rsid w:val="00D202D3"/>
    <w:rsid w:val="00D2171B"/>
    <w:rsid w:val="00D217CE"/>
    <w:rsid w:val="00D21A77"/>
    <w:rsid w:val="00D21E67"/>
    <w:rsid w:val="00D22148"/>
    <w:rsid w:val="00D22166"/>
    <w:rsid w:val="00D229A3"/>
    <w:rsid w:val="00D22D40"/>
    <w:rsid w:val="00D22ECC"/>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B06"/>
    <w:rsid w:val="00D27F01"/>
    <w:rsid w:val="00D30373"/>
    <w:rsid w:val="00D309B2"/>
    <w:rsid w:val="00D309D3"/>
    <w:rsid w:val="00D30C46"/>
    <w:rsid w:val="00D30FC7"/>
    <w:rsid w:val="00D31B9F"/>
    <w:rsid w:val="00D31BEA"/>
    <w:rsid w:val="00D31CEF"/>
    <w:rsid w:val="00D328AE"/>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4E1"/>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5B68"/>
    <w:rsid w:val="00D466E5"/>
    <w:rsid w:val="00D467C7"/>
    <w:rsid w:val="00D4688E"/>
    <w:rsid w:val="00D46E3E"/>
    <w:rsid w:val="00D46F2D"/>
    <w:rsid w:val="00D470C1"/>
    <w:rsid w:val="00D47151"/>
    <w:rsid w:val="00D471EF"/>
    <w:rsid w:val="00D475CC"/>
    <w:rsid w:val="00D477E2"/>
    <w:rsid w:val="00D4785C"/>
    <w:rsid w:val="00D47A34"/>
    <w:rsid w:val="00D5044A"/>
    <w:rsid w:val="00D50C82"/>
    <w:rsid w:val="00D50F95"/>
    <w:rsid w:val="00D5102A"/>
    <w:rsid w:val="00D511FC"/>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90B"/>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48B"/>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4EF8"/>
    <w:rsid w:val="00D86095"/>
    <w:rsid w:val="00D86ACF"/>
    <w:rsid w:val="00D86B37"/>
    <w:rsid w:val="00D86EF6"/>
    <w:rsid w:val="00D87154"/>
    <w:rsid w:val="00D8778A"/>
    <w:rsid w:val="00D91009"/>
    <w:rsid w:val="00D9120D"/>
    <w:rsid w:val="00D9126A"/>
    <w:rsid w:val="00D912DF"/>
    <w:rsid w:val="00D9134B"/>
    <w:rsid w:val="00D9151F"/>
    <w:rsid w:val="00D919F7"/>
    <w:rsid w:val="00D91AEE"/>
    <w:rsid w:val="00D91F8C"/>
    <w:rsid w:val="00D92265"/>
    <w:rsid w:val="00D9230B"/>
    <w:rsid w:val="00D92558"/>
    <w:rsid w:val="00D92633"/>
    <w:rsid w:val="00D92CBC"/>
    <w:rsid w:val="00D92FD3"/>
    <w:rsid w:val="00D931F2"/>
    <w:rsid w:val="00D933B9"/>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18C"/>
    <w:rsid w:val="00DA5655"/>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128A"/>
    <w:rsid w:val="00DD12B1"/>
    <w:rsid w:val="00DD12B5"/>
    <w:rsid w:val="00DD157A"/>
    <w:rsid w:val="00DD18BD"/>
    <w:rsid w:val="00DD1947"/>
    <w:rsid w:val="00DD1E75"/>
    <w:rsid w:val="00DD1ED7"/>
    <w:rsid w:val="00DD242B"/>
    <w:rsid w:val="00DD2DEB"/>
    <w:rsid w:val="00DD2FE5"/>
    <w:rsid w:val="00DD32DF"/>
    <w:rsid w:val="00DD3401"/>
    <w:rsid w:val="00DD3430"/>
    <w:rsid w:val="00DD3480"/>
    <w:rsid w:val="00DD3565"/>
    <w:rsid w:val="00DD430B"/>
    <w:rsid w:val="00DD49D3"/>
    <w:rsid w:val="00DD4D87"/>
    <w:rsid w:val="00DD59AB"/>
    <w:rsid w:val="00DD5FFE"/>
    <w:rsid w:val="00DD6396"/>
    <w:rsid w:val="00DD6C70"/>
    <w:rsid w:val="00DD6DA2"/>
    <w:rsid w:val="00DD761C"/>
    <w:rsid w:val="00DE0171"/>
    <w:rsid w:val="00DE0333"/>
    <w:rsid w:val="00DE0558"/>
    <w:rsid w:val="00DE067E"/>
    <w:rsid w:val="00DE088E"/>
    <w:rsid w:val="00DE0B96"/>
    <w:rsid w:val="00DE128B"/>
    <w:rsid w:val="00DE14E8"/>
    <w:rsid w:val="00DE1799"/>
    <w:rsid w:val="00DE21CF"/>
    <w:rsid w:val="00DE279F"/>
    <w:rsid w:val="00DE2D4B"/>
    <w:rsid w:val="00DE34C6"/>
    <w:rsid w:val="00DE3E7C"/>
    <w:rsid w:val="00DE464E"/>
    <w:rsid w:val="00DE4664"/>
    <w:rsid w:val="00DE4811"/>
    <w:rsid w:val="00DE4B0C"/>
    <w:rsid w:val="00DE5FDA"/>
    <w:rsid w:val="00DE61AA"/>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5C2"/>
    <w:rsid w:val="00DF360E"/>
    <w:rsid w:val="00DF3623"/>
    <w:rsid w:val="00DF3A2C"/>
    <w:rsid w:val="00DF3F90"/>
    <w:rsid w:val="00DF4158"/>
    <w:rsid w:val="00DF4430"/>
    <w:rsid w:val="00DF4920"/>
    <w:rsid w:val="00DF4DEA"/>
    <w:rsid w:val="00DF4F19"/>
    <w:rsid w:val="00DF5002"/>
    <w:rsid w:val="00DF5270"/>
    <w:rsid w:val="00DF5588"/>
    <w:rsid w:val="00DF5B4C"/>
    <w:rsid w:val="00DF5C89"/>
    <w:rsid w:val="00DF6014"/>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0DA9"/>
    <w:rsid w:val="00E11EB8"/>
    <w:rsid w:val="00E1273A"/>
    <w:rsid w:val="00E12933"/>
    <w:rsid w:val="00E12A5A"/>
    <w:rsid w:val="00E12AF0"/>
    <w:rsid w:val="00E136AE"/>
    <w:rsid w:val="00E139D0"/>
    <w:rsid w:val="00E14262"/>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586"/>
    <w:rsid w:val="00E31AAC"/>
    <w:rsid w:val="00E3200D"/>
    <w:rsid w:val="00E32E0E"/>
    <w:rsid w:val="00E3305B"/>
    <w:rsid w:val="00E33506"/>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038C"/>
    <w:rsid w:val="00E40A63"/>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47DF6"/>
    <w:rsid w:val="00E50344"/>
    <w:rsid w:val="00E508D6"/>
    <w:rsid w:val="00E515A3"/>
    <w:rsid w:val="00E51E23"/>
    <w:rsid w:val="00E523F3"/>
    <w:rsid w:val="00E52F76"/>
    <w:rsid w:val="00E5315C"/>
    <w:rsid w:val="00E534EA"/>
    <w:rsid w:val="00E538E0"/>
    <w:rsid w:val="00E53F95"/>
    <w:rsid w:val="00E547DF"/>
    <w:rsid w:val="00E54D33"/>
    <w:rsid w:val="00E564C1"/>
    <w:rsid w:val="00E56898"/>
    <w:rsid w:val="00E56D97"/>
    <w:rsid w:val="00E56E3C"/>
    <w:rsid w:val="00E56F3C"/>
    <w:rsid w:val="00E5711F"/>
    <w:rsid w:val="00E571C0"/>
    <w:rsid w:val="00E57456"/>
    <w:rsid w:val="00E57623"/>
    <w:rsid w:val="00E5797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C84"/>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166"/>
    <w:rsid w:val="00E71952"/>
    <w:rsid w:val="00E71DF1"/>
    <w:rsid w:val="00E71EDB"/>
    <w:rsid w:val="00E723D3"/>
    <w:rsid w:val="00E7242A"/>
    <w:rsid w:val="00E72737"/>
    <w:rsid w:val="00E72ABE"/>
    <w:rsid w:val="00E72BCC"/>
    <w:rsid w:val="00E739A7"/>
    <w:rsid w:val="00E73E01"/>
    <w:rsid w:val="00E7449A"/>
    <w:rsid w:val="00E744BD"/>
    <w:rsid w:val="00E74B5A"/>
    <w:rsid w:val="00E7524F"/>
    <w:rsid w:val="00E7556D"/>
    <w:rsid w:val="00E75693"/>
    <w:rsid w:val="00E756FB"/>
    <w:rsid w:val="00E75918"/>
    <w:rsid w:val="00E76141"/>
    <w:rsid w:val="00E76270"/>
    <w:rsid w:val="00E76B45"/>
    <w:rsid w:val="00E77040"/>
    <w:rsid w:val="00E772C4"/>
    <w:rsid w:val="00E77484"/>
    <w:rsid w:val="00E77655"/>
    <w:rsid w:val="00E8016D"/>
    <w:rsid w:val="00E810EC"/>
    <w:rsid w:val="00E8112C"/>
    <w:rsid w:val="00E81587"/>
    <w:rsid w:val="00E826C8"/>
    <w:rsid w:val="00E82819"/>
    <w:rsid w:val="00E82EE0"/>
    <w:rsid w:val="00E83280"/>
    <w:rsid w:val="00E832C9"/>
    <w:rsid w:val="00E8344D"/>
    <w:rsid w:val="00E83469"/>
    <w:rsid w:val="00E839A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0BF3"/>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D83"/>
    <w:rsid w:val="00EC1FE9"/>
    <w:rsid w:val="00EC28CD"/>
    <w:rsid w:val="00EC2915"/>
    <w:rsid w:val="00EC2C50"/>
    <w:rsid w:val="00EC2E21"/>
    <w:rsid w:val="00EC30FE"/>
    <w:rsid w:val="00EC36DD"/>
    <w:rsid w:val="00EC3E31"/>
    <w:rsid w:val="00EC3E81"/>
    <w:rsid w:val="00EC3EC8"/>
    <w:rsid w:val="00EC44E7"/>
    <w:rsid w:val="00EC4D77"/>
    <w:rsid w:val="00EC4D7B"/>
    <w:rsid w:val="00EC4E2E"/>
    <w:rsid w:val="00EC555C"/>
    <w:rsid w:val="00EC60A1"/>
    <w:rsid w:val="00EC614D"/>
    <w:rsid w:val="00EC6337"/>
    <w:rsid w:val="00EC6D31"/>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687C"/>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7C3"/>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2CEF"/>
    <w:rsid w:val="00F0301D"/>
    <w:rsid w:val="00F032DF"/>
    <w:rsid w:val="00F0372A"/>
    <w:rsid w:val="00F0388F"/>
    <w:rsid w:val="00F03891"/>
    <w:rsid w:val="00F046FD"/>
    <w:rsid w:val="00F04D51"/>
    <w:rsid w:val="00F05EED"/>
    <w:rsid w:val="00F068D2"/>
    <w:rsid w:val="00F06F02"/>
    <w:rsid w:val="00F07D39"/>
    <w:rsid w:val="00F10437"/>
    <w:rsid w:val="00F10465"/>
    <w:rsid w:val="00F10780"/>
    <w:rsid w:val="00F10864"/>
    <w:rsid w:val="00F1165E"/>
    <w:rsid w:val="00F11CF5"/>
    <w:rsid w:val="00F12909"/>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397"/>
    <w:rsid w:val="00F2456B"/>
    <w:rsid w:val="00F2457D"/>
    <w:rsid w:val="00F24A57"/>
    <w:rsid w:val="00F24D96"/>
    <w:rsid w:val="00F24F4D"/>
    <w:rsid w:val="00F24FA0"/>
    <w:rsid w:val="00F25088"/>
    <w:rsid w:val="00F25157"/>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4F52"/>
    <w:rsid w:val="00F351DE"/>
    <w:rsid w:val="00F3521B"/>
    <w:rsid w:val="00F35561"/>
    <w:rsid w:val="00F35865"/>
    <w:rsid w:val="00F35E92"/>
    <w:rsid w:val="00F360BA"/>
    <w:rsid w:val="00F366CE"/>
    <w:rsid w:val="00F369FF"/>
    <w:rsid w:val="00F377A2"/>
    <w:rsid w:val="00F37922"/>
    <w:rsid w:val="00F37AEF"/>
    <w:rsid w:val="00F37C39"/>
    <w:rsid w:val="00F37DC6"/>
    <w:rsid w:val="00F37E70"/>
    <w:rsid w:val="00F40C88"/>
    <w:rsid w:val="00F41576"/>
    <w:rsid w:val="00F41D1F"/>
    <w:rsid w:val="00F426B0"/>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15E"/>
    <w:rsid w:val="00F737F5"/>
    <w:rsid w:val="00F73F43"/>
    <w:rsid w:val="00F74664"/>
    <w:rsid w:val="00F74791"/>
    <w:rsid w:val="00F747FD"/>
    <w:rsid w:val="00F74A7A"/>
    <w:rsid w:val="00F75057"/>
    <w:rsid w:val="00F75C0B"/>
    <w:rsid w:val="00F763DF"/>
    <w:rsid w:val="00F77028"/>
    <w:rsid w:val="00F7792A"/>
    <w:rsid w:val="00F77A6F"/>
    <w:rsid w:val="00F77C47"/>
    <w:rsid w:val="00F77C4B"/>
    <w:rsid w:val="00F77CFA"/>
    <w:rsid w:val="00F802D3"/>
    <w:rsid w:val="00F80A32"/>
    <w:rsid w:val="00F80D8F"/>
    <w:rsid w:val="00F8116A"/>
    <w:rsid w:val="00F81311"/>
    <w:rsid w:val="00F81625"/>
    <w:rsid w:val="00F81A54"/>
    <w:rsid w:val="00F81B5F"/>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E37"/>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CDA"/>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EB9"/>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2F53"/>
    <w:rsid w:val="00FC338D"/>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24"/>
    <w:rsid w:val="00FC6B41"/>
    <w:rsid w:val="00FC6D8C"/>
    <w:rsid w:val="00FC6DA4"/>
    <w:rsid w:val="00FC791E"/>
    <w:rsid w:val="00FC7F93"/>
    <w:rsid w:val="00FD10D2"/>
    <w:rsid w:val="00FD1446"/>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74E"/>
    <w:rsid w:val="00FD7D6B"/>
    <w:rsid w:val="00FE00DC"/>
    <w:rsid w:val="00FE0477"/>
    <w:rsid w:val="00FE0657"/>
    <w:rsid w:val="00FE0E08"/>
    <w:rsid w:val="00FE15F5"/>
    <w:rsid w:val="00FE1728"/>
    <w:rsid w:val="00FE1EC0"/>
    <w:rsid w:val="00FE22FE"/>
    <w:rsid w:val="00FE2B7B"/>
    <w:rsid w:val="00FE3100"/>
    <w:rsid w:val="00FE3768"/>
    <w:rsid w:val="00FE3D47"/>
    <w:rsid w:val="00FE42C4"/>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0B6"/>
    <w:rsid w:val="00FF01C5"/>
    <w:rsid w:val="00FF0224"/>
    <w:rsid w:val="00FF0289"/>
    <w:rsid w:val="00FF02D6"/>
    <w:rsid w:val="00FF0895"/>
    <w:rsid w:val="00FF0BBB"/>
    <w:rsid w:val="00FF1455"/>
    <w:rsid w:val="00FF1716"/>
    <w:rsid w:val="00FF1920"/>
    <w:rsid w:val="00FF1ACF"/>
    <w:rsid w:val="00FF2644"/>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733C47F7-B850-4412-8597-B8E1EC96D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105EFB"/>
    <w:pPr>
      <w:numPr>
        <w:numId w:val="32"/>
      </w:numPr>
      <w:overflowPunct/>
      <w:autoSpaceDE/>
      <w:autoSpaceDN/>
      <w:adjustRightInd/>
      <w:spacing w:after="120"/>
      <w:textAlignment w:val="auto"/>
    </w:pPr>
    <w:rPr>
      <w:rFonts w:eastAsia="Calibri"/>
      <w:szCs w:val="22"/>
      <w:lang w:val="en-GB"/>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105EFB"/>
    <w:rPr>
      <w:rFonts w:ascii="Times New Roman" w:eastAsia="Calibri" w:hAnsi="Times New Roman"/>
      <w:szCs w:val="22"/>
      <w:lang w:val="en-GB"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ableofFigures">
    <w:name w:val="table of figures"/>
    <w:basedOn w:val="Normal"/>
    <w:next w:val="Normal"/>
    <w:uiPriority w:val="99"/>
    <w:unhideWhenUsed/>
    <w:rsid w:val="00331915"/>
    <w:pPr>
      <w:spacing w:before="120" w:after="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158609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32231">
          <w:marLeft w:val="1166"/>
          <w:marRight w:val="0"/>
          <w:marTop w:val="96"/>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1420634627">
          <w:marLeft w:val="547"/>
          <w:marRight w:val="0"/>
          <w:marTop w:val="115"/>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173837065">
          <w:marLeft w:val="547"/>
          <w:marRight w:val="0"/>
          <w:marTop w:val="115"/>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111482863">
          <w:marLeft w:val="1166"/>
          <w:marRight w:val="0"/>
          <w:marTop w:val="9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608776937">
          <w:marLeft w:val="547"/>
          <w:marRight w:val="0"/>
          <w:marTop w:val="115"/>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2512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309676008">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1826896200">
          <w:marLeft w:val="1166"/>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336428114">
          <w:marLeft w:val="1627"/>
          <w:marRight w:val="0"/>
          <w:marTop w:val="86"/>
          <w:marBottom w:val="0"/>
          <w:divBdr>
            <w:top w:val="none" w:sz="0" w:space="0" w:color="auto"/>
            <w:left w:val="none" w:sz="0" w:space="0" w:color="auto"/>
            <w:bottom w:val="none" w:sz="0" w:space="0" w:color="auto"/>
            <w:right w:val="none" w:sz="0" w:space="0" w:color="auto"/>
          </w:divBdr>
        </w:div>
        <w:div w:id="1020231415">
          <w:marLeft w:val="547"/>
          <w:marRight w:val="0"/>
          <w:marTop w:val="115"/>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HR33RHYHUWRF-4-5908</_dlc_DocId>
    <_dlc_DocIdUrl xmlns="c06861ca-3f08-4d07-bff7-bb15bac121f4">
      <Url>https://projects.qualcomm.com/sites/pentari/_layouts/15/DocIdRedir.aspx?ID=HR33RHYHUWRF-4-5908</Url>
      <Description>HR33RHYHUWRF-4-5908</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2.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4.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D81C6B6-490E-4CA7-ACD7-82BE891F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Pages>
  <Words>4343</Words>
  <Characters>24758</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29043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dc:description/>
  <cp:lastModifiedBy>Peter Ang</cp:lastModifiedBy>
  <cp:revision>4</cp:revision>
  <cp:lastPrinted>2014-11-07T05:38:00Z</cp:lastPrinted>
  <dcterms:created xsi:type="dcterms:W3CDTF">2017-10-03T05:29:00Z</dcterms:created>
  <dcterms:modified xsi:type="dcterms:W3CDTF">2017-10-03T05:31:00Z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65c723a8-4968-48c4-8e33-e8d430212b1a</vt:lpwstr>
  </property>
</Properties>
</file>